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065" w:rsidRDefault="0018309C" w:rsidP="0018309C">
      <w:pPr>
        <w:rPr>
          <w:rFonts w:ascii="Arial Narrow" w:eastAsia="Times New Roman" w:hAnsi="Arial Narrow" w:cs="Times New Roman"/>
          <w:bCs/>
          <w:szCs w:val="20"/>
          <w:lang w:val="es-ES"/>
        </w:rPr>
      </w:pPr>
      <w:r>
        <w:rPr>
          <w:rFonts w:ascii="Arial Narrow" w:eastAsia="Times New Roman" w:hAnsi="Arial Narrow" w:cs="Times New Roman"/>
          <w:b/>
          <w:bCs/>
          <w:szCs w:val="20"/>
          <w:lang w:val="es-ES"/>
        </w:rPr>
        <w:t xml:space="preserve">EL ALCALDE DE MANIZALES, </w:t>
      </w:r>
      <w:r>
        <w:rPr>
          <w:rFonts w:ascii="Arial Narrow" w:eastAsia="Times New Roman" w:hAnsi="Arial Narrow" w:cs="Times New Roman"/>
          <w:bCs/>
          <w:szCs w:val="20"/>
          <w:lang w:val="es-ES"/>
        </w:rPr>
        <w:t xml:space="preserve">En uso de las facultades que le confiere el Artículo 2, 314, 315 de la Constitución Política; el Artículo 216 del Decreto Ley 1355 de 1970; el artículo </w:t>
      </w:r>
      <w:r>
        <w:rPr>
          <w:rFonts w:ascii="Arial Narrow" w:eastAsia="Times New Roman" w:hAnsi="Arial Narrow" w:cs="Times New Roman"/>
          <w:bCs/>
          <w:szCs w:val="20"/>
          <w:lang w:val="es-CO"/>
        </w:rPr>
        <w:t xml:space="preserve">2.2.6.1.1.8 </w:t>
      </w:r>
      <w:r>
        <w:rPr>
          <w:rFonts w:ascii="Arial Narrow" w:eastAsia="Times New Roman" w:hAnsi="Arial Narrow" w:cs="Times New Roman"/>
          <w:bCs/>
          <w:szCs w:val="20"/>
          <w:lang w:val="es-ES"/>
        </w:rPr>
        <w:t>del Decreto Nacional 1077 de 2015</w:t>
      </w:r>
      <w:r w:rsidR="00BE75DC">
        <w:rPr>
          <w:rFonts w:ascii="Arial Narrow" w:eastAsia="Times New Roman" w:hAnsi="Arial Narrow" w:cs="Times New Roman"/>
          <w:bCs/>
          <w:szCs w:val="20"/>
          <w:lang w:val="es-ES"/>
        </w:rPr>
        <w:t xml:space="preserve">;  y demás normas concordantes </w:t>
      </w:r>
      <w:bookmarkStart w:id="0" w:name="_GoBack"/>
      <w:bookmarkEnd w:id="0"/>
    </w:p>
    <w:p w:rsidR="0018309C" w:rsidRDefault="0018309C" w:rsidP="0018309C">
      <w:pPr>
        <w:suppressAutoHyphens/>
        <w:spacing w:line="100" w:lineRule="atLeast"/>
        <w:jc w:val="center"/>
        <w:rPr>
          <w:rFonts w:ascii="Arial Narrow" w:eastAsia="Batang" w:hAnsi="Arial Narrow" w:cs="Times New Roman"/>
          <w:b/>
          <w:bCs/>
          <w:szCs w:val="20"/>
          <w:lang w:val="es-ES" w:eastAsia="ar-SA"/>
        </w:rPr>
      </w:pPr>
      <w:r>
        <w:rPr>
          <w:rFonts w:ascii="Arial Narrow" w:eastAsia="Batang" w:hAnsi="Arial Narrow" w:cs="Times New Roman"/>
          <w:b/>
          <w:bCs/>
          <w:szCs w:val="20"/>
          <w:lang w:val="es-ES" w:eastAsia="ar-SA"/>
        </w:rPr>
        <w:t>RESUELVE</w:t>
      </w:r>
    </w:p>
    <w:p w:rsidR="0018309C" w:rsidRDefault="0018309C" w:rsidP="0018309C">
      <w:pPr>
        <w:spacing w:line="276" w:lineRule="auto"/>
        <w:jc w:val="both"/>
        <w:rPr>
          <w:rFonts w:ascii="Arial Narrow" w:eastAsia="Times New Roman" w:hAnsi="Arial Narrow" w:cs="Tahoma"/>
          <w:bCs/>
          <w:szCs w:val="22"/>
          <w:lang w:val="es-ES"/>
        </w:rPr>
      </w:pPr>
      <w:r>
        <w:rPr>
          <w:rFonts w:ascii="Arial Narrow" w:eastAsia="Times New Roman" w:hAnsi="Arial Narrow" w:cs="Tahoma"/>
          <w:b/>
          <w:bCs/>
          <w:szCs w:val="22"/>
          <w:lang w:val="es-ES"/>
        </w:rPr>
        <w:t>ARTICULO 1°: DECLARAR,</w:t>
      </w:r>
      <w:r>
        <w:rPr>
          <w:rFonts w:ascii="Arial Narrow" w:eastAsia="Times New Roman" w:hAnsi="Arial Narrow" w:cs="Tahoma"/>
          <w:szCs w:val="22"/>
          <w:lang w:val="es-ES"/>
        </w:rPr>
        <w:t xml:space="preserve"> </w:t>
      </w:r>
      <w:r>
        <w:rPr>
          <w:rFonts w:ascii="Arial Narrow" w:eastAsia="Times New Roman" w:hAnsi="Arial Narrow" w:cs="Tahoma"/>
          <w:bCs/>
          <w:szCs w:val="22"/>
          <w:lang w:val="es-ES"/>
        </w:rPr>
        <w:t xml:space="preserve">en estado de ruina e inminente peligro el inmueble </w:t>
      </w:r>
      <w:r>
        <w:rPr>
          <w:rFonts w:ascii="Arial Narrow" w:eastAsia="Times New Roman" w:hAnsi="Arial Narrow" w:cs="Times New Roman"/>
          <w:bCs/>
          <w:szCs w:val="22"/>
          <w:lang w:val="es-ES"/>
        </w:rPr>
        <w:t xml:space="preserve">identificado con Ficha Catastral N°. 01-04-0065-0015-000, y con folio de matrícula Inmobiliaria No 100 – 25951, </w:t>
      </w:r>
      <w:r>
        <w:rPr>
          <w:rFonts w:ascii="Arial Narrow" w:eastAsia="Times New Roman" w:hAnsi="Arial Narrow" w:cs="Tahoma"/>
          <w:bCs/>
          <w:szCs w:val="22"/>
          <w:lang w:val="es-ES"/>
        </w:rPr>
        <w:t>ubicado en  la Carrera 16 Nº. 14-11/13.</w:t>
      </w:r>
    </w:p>
    <w:p w:rsidR="0018309C" w:rsidRDefault="0018309C" w:rsidP="0018309C">
      <w:pPr>
        <w:spacing w:line="276" w:lineRule="auto"/>
        <w:jc w:val="both"/>
        <w:rPr>
          <w:rFonts w:ascii="Arial Narrow" w:eastAsia="Times New Roman" w:hAnsi="Arial Narrow" w:cs="Tahoma"/>
          <w:bCs/>
          <w:szCs w:val="22"/>
          <w:lang w:val="es-ES"/>
        </w:rPr>
      </w:pPr>
      <w:r>
        <w:rPr>
          <w:rFonts w:ascii="Arial Narrow" w:eastAsia="Times New Roman" w:hAnsi="Arial Narrow" w:cs="Tahoma"/>
          <w:b/>
          <w:bCs/>
          <w:szCs w:val="22"/>
          <w:lang w:val="es-ES"/>
        </w:rPr>
        <w:t xml:space="preserve">ARTICULO 2°: ORDENAR EL DESALOJO INMEDIATO DE LAS PERSONAS QUE SE ENCUENTREN OCUPANDO EL INMUEBLE </w:t>
      </w:r>
      <w:r>
        <w:rPr>
          <w:rFonts w:ascii="Arial Narrow" w:eastAsia="Times New Roman" w:hAnsi="Arial Narrow" w:cs="Times New Roman"/>
          <w:bCs/>
          <w:szCs w:val="22"/>
          <w:lang w:val="es-ES"/>
        </w:rPr>
        <w:t>identificado con ficha catastral</w:t>
      </w:r>
      <w:r>
        <w:rPr>
          <w:rFonts w:ascii="Arial Narrow" w:eastAsia="Times New Roman" w:hAnsi="Arial Narrow" w:cs="Tahoma"/>
          <w:szCs w:val="22"/>
          <w:lang w:val="es-ES"/>
        </w:rPr>
        <w:t xml:space="preserve"> </w:t>
      </w:r>
      <w:r>
        <w:rPr>
          <w:rFonts w:ascii="Arial Narrow" w:eastAsia="Times New Roman" w:hAnsi="Arial Narrow" w:cs="Tahoma"/>
          <w:bCs/>
          <w:szCs w:val="22"/>
          <w:lang w:val="es-ES"/>
        </w:rPr>
        <w:t xml:space="preserve">No </w:t>
      </w:r>
      <w:r>
        <w:rPr>
          <w:rFonts w:ascii="Arial Narrow" w:eastAsia="Times New Roman" w:hAnsi="Arial Narrow" w:cs="Times New Roman"/>
          <w:bCs/>
          <w:szCs w:val="22"/>
          <w:lang w:val="es-ES"/>
        </w:rPr>
        <w:t xml:space="preserve">01-04-0065-0015-000, y con folio de matrícula Inmobiliaria No 100 – 25951, </w:t>
      </w:r>
      <w:r>
        <w:rPr>
          <w:rFonts w:ascii="Arial Narrow" w:eastAsia="Times New Roman" w:hAnsi="Arial Narrow" w:cs="Tahoma"/>
          <w:bCs/>
          <w:szCs w:val="22"/>
          <w:lang w:val="es-ES"/>
        </w:rPr>
        <w:t>ubicado en  la Carrera 16 Nº. 14-11/13.</w:t>
      </w:r>
    </w:p>
    <w:p w:rsidR="0018309C" w:rsidRDefault="0018309C" w:rsidP="0018309C">
      <w:pPr>
        <w:spacing w:line="276" w:lineRule="auto"/>
        <w:jc w:val="both"/>
        <w:rPr>
          <w:rFonts w:ascii="Arial Narrow" w:eastAsia="Times New Roman" w:hAnsi="Arial Narrow" w:cs="Tahoma"/>
          <w:bCs/>
          <w:szCs w:val="22"/>
          <w:lang w:val="es-ES"/>
        </w:rPr>
      </w:pPr>
      <w:r>
        <w:rPr>
          <w:rFonts w:ascii="Arial Narrow" w:eastAsia="Times New Roman" w:hAnsi="Arial Narrow" w:cs="Tahoma"/>
          <w:b/>
          <w:bCs/>
          <w:szCs w:val="22"/>
          <w:lang w:val="es-ES"/>
        </w:rPr>
        <w:t xml:space="preserve">ARTICULO 3°: ORDENAR, LA DEMOLICIÓN INMEDIATA Y EL RETIRO DE LOS ESCOMBROS </w:t>
      </w:r>
      <w:r>
        <w:rPr>
          <w:rFonts w:ascii="Arial Narrow" w:eastAsia="Times New Roman" w:hAnsi="Arial Narrow" w:cs="Tahoma"/>
          <w:szCs w:val="22"/>
          <w:lang w:val="es-ES"/>
        </w:rPr>
        <w:t xml:space="preserve">del inmueble </w:t>
      </w:r>
      <w:r>
        <w:rPr>
          <w:rFonts w:ascii="Arial Narrow" w:eastAsia="Times New Roman" w:hAnsi="Arial Narrow" w:cs="Times New Roman"/>
          <w:bCs/>
          <w:szCs w:val="22"/>
          <w:lang w:val="es-ES"/>
        </w:rPr>
        <w:t>identificado con ficha catastral</w:t>
      </w:r>
      <w:r>
        <w:rPr>
          <w:rFonts w:ascii="Arial Narrow" w:eastAsia="Times New Roman" w:hAnsi="Arial Narrow" w:cs="Tahoma"/>
          <w:bCs/>
          <w:szCs w:val="22"/>
          <w:lang w:val="es-ES"/>
        </w:rPr>
        <w:t xml:space="preserve"> No </w:t>
      </w:r>
      <w:r>
        <w:rPr>
          <w:rFonts w:ascii="Arial Narrow" w:eastAsia="Times New Roman" w:hAnsi="Arial Narrow" w:cs="Times New Roman"/>
          <w:bCs/>
          <w:szCs w:val="22"/>
          <w:lang w:val="es-ES"/>
        </w:rPr>
        <w:t xml:space="preserve">01-04-0065-0015-000, y con folio de matrícula Inmobiliaria No 100 – 25951, </w:t>
      </w:r>
      <w:r>
        <w:rPr>
          <w:rFonts w:ascii="Arial Narrow" w:eastAsia="Times New Roman" w:hAnsi="Arial Narrow" w:cs="Tahoma"/>
          <w:bCs/>
          <w:szCs w:val="22"/>
          <w:lang w:val="es-ES"/>
        </w:rPr>
        <w:t>ubicado en  la Carrera 16 Nº. 14-11/13, que se deberá realizar dentro de los quince (15) días siguientes al desalojo total del inmueble. El retiro de los escombros tendrá disposición final en las escombreras legalmente establecidas por el Municipio.</w:t>
      </w:r>
    </w:p>
    <w:p w:rsidR="0018309C" w:rsidRDefault="0018309C" w:rsidP="0018309C">
      <w:pPr>
        <w:spacing w:line="276" w:lineRule="auto"/>
        <w:jc w:val="both"/>
        <w:rPr>
          <w:rFonts w:ascii="Arial Narrow" w:eastAsia="Times New Roman" w:hAnsi="Arial Narrow" w:cs="Tahoma"/>
          <w:szCs w:val="22"/>
          <w:lang w:val="es-ES"/>
        </w:rPr>
      </w:pPr>
      <w:r>
        <w:rPr>
          <w:rFonts w:ascii="Arial Narrow" w:eastAsia="Times New Roman" w:hAnsi="Arial Narrow" w:cs="Tahoma"/>
          <w:b/>
          <w:bCs/>
          <w:szCs w:val="22"/>
          <w:lang w:val="es-ES"/>
        </w:rPr>
        <w:t xml:space="preserve">ARTICULO 4°: ORDENAR EL CERRAMIENTO DEL LOTE, </w:t>
      </w:r>
      <w:r>
        <w:rPr>
          <w:rFonts w:ascii="Arial Narrow" w:eastAsia="Times New Roman" w:hAnsi="Arial Narrow" w:cs="Tahoma"/>
          <w:szCs w:val="22"/>
          <w:lang w:val="es-ES"/>
        </w:rPr>
        <w:t>dentro de los quince (15) días siguientes a la demolición total del mismo, y deberá realizarse de conformidad con el Acuerdo 054 de 1993, a una altura mínima de 2.30 metros, ubicado en el paramento oficial y construido en materiales que garanticen seguridad y buen aspecto para la ciudad.</w:t>
      </w:r>
    </w:p>
    <w:p w:rsidR="0018309C" w:rsidRDefault="0018309C" w:rsidP="0018309C">
      <w:pPr>
        <w:spacing w:line="276" w:lineRule="auto"/>
        <w:jc w:val="both"/>
        <w:rPr>
          <w:rFonts w:ascii="Arial Narrow" w:eastAsia="Times New Roman" w:hAnsi="Arial Narrow" w:cs="Tahoma"/>
          <w:szCs w:val="22"/>
          <w:lang w:val="es-ES"/>
        </w:rPr>
      </w:pPr>
      <w:r>
        <w:rPr>
          <w:rFonts w:ascii="Arial Narrow" w:eastAsia="Times New Roman" w:hAnsi="Arial Narrow" w:cs="Tahoma"/>
          <w:b/>
          <w:bCs/>
          <w:szCs w:val="22"/>
          <w:lang w:val="es-ES"/>
        </w:rPr>
        <w:t xml:space="preserve">ARTICULO 5°: EN CASO DE NO CUMPLIRSE CON LO ORDENADO, </w:t>
      </w:r>
      <w:r>
        <w:rPr>
          <w:rFonts w:ascii="Arial Narrow" w:eastAsia="Times New Roman" w:hAnsi="Arial Narrow" w:cs="Tahoma"/>
          <w:szCs w:val="22"/>
          <w:lang w:val="es-ES"/>
        </w:rPr>
        <w:t>la demolición, el retiro de los escombros y el Cerramiento del Lote  se llevará a cabo por la Administración Municipal Secretaría de Obras Públicas a costa de los  implicados, costo que se hará efectivo con un recargo del (10%) adicional como gastos de administración, que se incluirán en la respectiva factura del  impuesto predial, pudiendo cobrarse por Jurisdicción Coactiva si es del caso, sin perjuicio de las demás sanciones establecidas por infracción a normas urbanísticas.</w:t>
      </w:r>
    </w:p>
    <w:p w:rsidR="0018309C" w:rsidRDefault="0018309C" w:rsidP="0018309C">
      <w:pPr>
        <w:spacing w:line="276" w:lineRule="auto"/>
        <w:jc w:val="both"/>
        <w:rPr>
          <w:rFonts w:ascii="Arial Narrow" w:eastAsia="Times New Roman" w:hAnsi="Arial Narrow" w:cs="Tahoma"/>
          <w:szCs w:val="22"/>
          <w:lang w:val="es-ES"/>
        </w:rPr>
      </w:pPr>
      <w:r>
        <w:rPr>
          <w:rFonts w:ascii="Arial Narrow" w:eastAsia="Times New Roman" w:hAnsi="Arial Narrow" w:cs="Tahoma"/>
          <w:b/>
          <w:bCs/>
          <w:szCs w:val="22"/>
          <w:lang w:val="es-ES"/>
        </w:rPr>
        <w:t>ARTICULO 6°: ORDENAR LA PUBLICACIÓN</w:t>
      </w:r>
      <w:r>
        <w:rPr>
          <w:rFonts w:ascii="Arial Narrow" w:eastAsia="Times New Roman" w:hAnsi="Arial Narrow" w:cs="Tahoma"/>
          <w:bCs/>
          <w:szCs w:val="22"/>
          <w:lang w:val="es-ES"/>
        </w:rPr>
        <w:t xml:space="preserve"> del presente acto administrativo en la página electrónica de la Alcaldía y en  prensa en cumplimiento a lo consagrado en los artículos 37 y 73 de la Ley 1437 de 2011, trámite que deberá adelantarse por la Inspección de Control Urbano Secretaría de Planeación Municipal.</w:t>
      </w:r>
    </w:p>
    <w:p w:rsidR="0018309C" w:rsidRDefault="0018309C" w:rsidP="0018309C">
      <w:pPr>
        <w:spacing w:line="276" w:lineRule="auto"/>
        <w:jc w:val="both"/>
        <w:rPr>
          <w:rFonts w:ascii="Arial Narrow" w:eastAsia="Times New Roman" w:hAnsi="Arial Narrow" w:cs="Tahoma"/>
          <w:bCs/>
          <w:szCs w:val="22"/>
          <w:lang w:val="es-ES"/>
        </w:rPr>
      </w:pPr>
      <w:r>
        <w:rPr>
          <w:rFonts w:ascii="Arial Narrow" w:eastAsia="Times New Roman" w:hAnsi="Arial Narrow" w:cs="Tahoma"/>
          <w:b/>
          <w:szCs w:val="22"/>
          <w:lang w:val="es-ES"/>
        </w:rPr>
        <w:t xml:space="preserve">ARTICULO 7°: </w:t>
      </w:r>
      <w:r>
        <w:rPr>
          <w:rFonts w:ascii="Arial Narrow" w:eastAsia="Times New Roman" w:hAnsi="Arial Narrow" w:cs="Tahoma"/>
          <w:b/>
          <w:bCs/>
          <w:szCs w:val="22"/>
          <w:lang w:val="es-ES"/>
        </w:rPr>
        <w:t xml:space="preserve">NOTIFICAR </w:t>
      </w:r>
      <w:r>
        <w:rPr>
          <w:rFonts w:ascii="Arial Narrow" w:eastAsia="Times New Roman" w:hAnsi="Arial Narrow" w:cs="Tahoma"/>
          <w:bCs/>
          <w:szCs w:val="22"/>
          <w:lang w:val="es-ES"/>
        </w:rPr>
        <w:t xml:space="preserve">por la Inspección de Control Urbano Secretaría de Planeación el contenido de la presente resolución a los señores MARIA MELVA GOMEZ RAMIREZ, DIANA MARCELA RAMIREZ GOMEZ, LUZ ENED RAMIREZ GOMEZ, GEORGINA RAMIREZ GOMEZ, LIYAN RAMIREZ GOMEZ, LUIS GONZALO RAMIREZ GOMEZ, </w:t>
      </w:r>
      <w:r>
        <w:rPr>
          <w:rFonts w:ascii="Arial Narrow" w:eastAsia="Times New Roman" w:hAnsi="Arial Narrow" w:cs="Tahoma"/>
          <w:bCs/>
          <w:szCs w:val="22"/>
          <w:lang w:val="es-CO"/>
        </w:rPr>
        <w:t>WILSON RAMIREZ GOMEZ, FREDY RAMIREZ GOMEZ</w:t>
      </w:r>
      <w:r>
        <w:rPr>
          <w:rFonts w:ascii="Arial Narrow" w:eastAsia="Times New Roman" w:hAnsi="Arial Narrow" w:cs="Tahoma"/>
          <w:bCs/>
          <w:szCs w:val="22"/>
          <w:lang w:val="es-ES"/>
        </w:rPr>
        <w:t xml:space="preserve"> y las demás personas indeterminadas sea personalmente o por aviso según lo establecido en los artículos 67 y siguientes de la ley 1437 de 2011. </w:t>
      </w:r>
    </w:p>
    <w:p w:rsidR="0018309C" w:rsidRDefault="0018309C" w:rsidP="0018309C">
      <w:pPr>
        <w:spacing w:line="276" w:lineRule="auto"/>
        <w:jc w:val="both"/>
        <w:rPr>
          <w:rFonts w:ascii="Arial Narrow" w:eastAsia="Batang" w:hAnsi="Arial Narrow" w:cs="Times New Roman"/>
          <w:szCs w:val="20"/>
          <w:lang w:val="es-ES" w:eastAsia="ar-SA"/>
        </w:rPr>
      </w:pPr>
      <w:r>
        <w:rPr>
          <w:rFonts w:ascii="Arial Narrow" w:eastAsia="Times New Roman" w:hAnsi="Arial Narrow" w:cs="Tahoma"/>
          <w:b/>
          <w:bCs/>
          <w:szCs w:val="22"/>
          <w:lang w:val="es-ES"/>
        </w:rPr>
        <w:t>ARTICULO 8°:</w:t>
      </w:r>
      <w:r>
        <w:rPr>
          <w:rFonts w:ascii="Arial Narrow" w:eastAsia="Times New Roman" w:hAnsi="Arial Narrow" w:cs="Tahoma"/>
          <w:bCs/>
          <w:szCs w:val="22"/>
          <w:lang w:val="es-ES"/>
        </w:rPr>
        <w:t xml:space="preserve"> </w:t>
      </w:r>
      <w:r>
        <w:rPr>
          <w:rFonts w:ascii="Arial Narrow" w:eastAsia="Times New Roman" w:hAnsi="Arial Narrow" w:cs="Tahoma"/>
          <w:b/>
          <w:bCs/>
          <w:szCs w:val="22"/>
          <w:lang w:val="es-ES"/>
        </w:rPr>
        <w:t xml:space="preserve">RECURSOS.  </w:t>
      </w:r>
      <w:r>
        <w:rPr>
          <w:rFonts w:ascii="Arial Narrow" w:eastAsia="Times New Roman" w:hAnsi="Arial Narrow" w:cs="Tahoma"/>
          <w:bCs/>
          <w:szCs w:val="22"/>
          <w:lang w:val="es-ES"/>
        </w:rPr>
        <w:t>Contra la presente resolución procede el recurso de reposición (</w:t>
      </w:r>
      <w:r>
        <w:rPr>
          <w:rFonts w:ascii="Arial Narrow" w:eastAsia="Times New Roman" w:hAnsi="Arial Narrow" w:cs="Tahoma"/>
          <w:bCs/>
          <w:szCs w:val="22"/>
          <w:lang w:val="es-CO"/>
        </w:rPr>
        <w:t>Artículo 76 de la Ley 1437 de 2011) que deberá presentarse por escrito ante el señor Alcalde, dentro de los diez (10) días siguientes a la notificación de la misma o a la notificación por aviso o al vencimiento del término de publicación según el caso.</w:t>
      </w:r>
    </w:p>
    <w:p w:rsidR="0018309C" w:rsidRDefault="0018309C" w:rsidP="0018309C">
      <w:pPr>
        <w:suppressAutoHyphens/>
        <w:spacing w:line="276" w:lineRule="auto"/>
        <w:jc w:val="both"/>
        <w:rPr>
          <w:rFonts w:ascii="Arial Narrow" w:eastAsia="Batang" w:hAnsi="Arial Narrow" w:cs="Times New Roman"/>
          <w:szCs w:val="20"/>
          <w:lang w:val="es-ES" w:eastAsia="ar-SA"/>
        </w:rPr>
      </w:pPr>
    </w:p>
    <w:p w:rsidR="0018309C" w:rsidRDefault="0018309C" w:rsidP="0018309C">
      <w:pPr>
        <w:autoSpaceDE w:val="0"/>
        <w:autoSpaceDN w:val="0"/>
        <w:adjustRightInd w:val="0"/>
        <w:jc w:val="both"/>
        <w:rPr>
          <w:rFonts w:ascii="Arial Narrow" w:eastAsia="Times New Roman" w:hAnsi="Arial Narrow" w:cs="Arial"/>
          <w:szCs w:val="20"/>
          <w:lang w:val="es-ES"/>
        </w:rPr>
      </w:pPr>
    </w:p>
    <w:p w:rsidR="0018309C" w:rsidRDefault="0018309C" w:rsidP="0018309C">
      <w:pPr>
        <w:tabs>
          <w:tab w:val="left" w:pos="4140"/>
        </w:tabs>
        <w:autoSpaceDE w:val="0"/>
        <w:autoSpaceDN w:val="0"/>
        <w:adjustRightInd w:val="0"/>
        <w:jc w:val="center"/>
        <w:rPr>
          <w:rFonts w:ascii="Arial Narrow" w:eastAsia="Times New Roman" w:hAnsi="Arial Narrow" w:cs="Arial"/>
          <w:b/>
          <w:bCs/>
          <w:szCs w:val="20"/>
          <w:lang w:val="es-ES"/>
        </w:rPr>
      </w:pPr>
      <w:r>
        <w:rPr>
          <w:rFonts w:ascii="Arial Narrow" w:eastAsia="Times New Roman" w:hAnsi="Arial Narrow" w:cs="Arial"/>
          <w:b/>
          <w:bCs/>
          <w:szCs w:val="20"/>
          <w:lang w:val="es-ES"/>
        </w:rPr>
        <w:t>NOTIFÍQUESE PUBLÍQUESE Y CÚMPLASE</w:t>
      </w:r>
    </w:p>
    <w:p w:rsidR="0018309C" w:rsidRDefault="0018309C" w:rsidP="0018309C"/>
    <w:sectPr w:rsidR="0018309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09C"/>
    <w:rsid w:val="0018309C"/>
    <w:rsid w:val="00381630"/>
    <w:rsid w:val="005C439A"/>
    <w:rsid w:val="00BE75DC"/>
    <w:rsid w:val="00CF206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09C"/>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09C"/>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935791">
      <w:bodyDiv w:val="1"/>
      <w:marLeft w:val="0"/>
      <w:marRight w:val="0"/>
      <w:marTop w:val="0"/>
      <w:marBottom w:val="0"/>
      <w:divBdr>
        <w:top w:val="none" w:sz="0" w:space="0" w:color="auto"/>
        <w:left w:val="none" w:sz="0" w:space="0" w:color="auto"/>
        <w:bottom w:val="none" w:sz="0" w:space="0" w:color="auto"/>
        <w:right w:val="none" w:sz="0" w:space="0" w:color="auto"/>
      </w:divBdr>
    </w:div>
    <w:div w:id="16837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495</Words>
  <Characters>2724</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Marin Marin</dc:creator>
  <cp:keywords/>
  <dc:description/>
  <cp:lastModifiedBy>Jaime Marin Marin</cp:lastModifiedBy>
  <cp:revision>2</cp:revision>
  <dcterms:created xsi:type="dcterms:W3CDTF">2017-02-09T21:45:00Z</dcterms:created>
  <dcterms:modified xsi:type="dcterms:W3CDTF">2017-02-15T22:35:00Z</dcterms:modified>
</cp:coreProperties>
</file>