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C21E1C">
      <w:r>
        <w:rPr>
          <w:noProof/>
          <w:lang w:eastAsia="es-ES"/>
        </w:rPr>
        <w:drawing>
          <wp:inline distT="0" distB="0" distL="0" distR="0">
            <wp:extent cx="8885555" cy="17424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Adecuar la gestión</w:t>
                        </w:r>
                        <w:bookmarkStart w:id="0" w:name="_GoBack"/>
                        <w:bookmarkEnd w:id="0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fiscal a los principios de economía, eficiencia, eficacia y equidad o mitigar el impacto ambiental mediante la definición y descripción de las etapas que se deben desarrollar para preparar y suscribir el plan de mejoramiento como resultado del ejercicio de un proceso auditor (contralorías, ministerios, superintendencia, unidad de control interno, etc...)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recepción del informe definitivo de la auditoria, la construcción del plan de mejoramiento y concluye con la certificación del cumplimiento del plan por parte del respectivo secretario de despacho.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No aplica para los resultados de las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auditorias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internas al Sistema de Gestión Integral.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Todos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RESPONSABILIDAD DE LA IMPLEMENTACION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1. Es responsabilidad del Alcalde como representante legal de la entidad y de los demás servidores públicos, la implementación de planes de mejoramiento resultantes de los hallazgos encontrados en el proceso auditor.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TERMINO PARA LA IMPLEMENTACION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Se debe informar dentro de los (15) quince días siguientes a la comunicación del informe de auditoría, sobre la elaboración del plan de mejoramiento, mediante oficio dirigido al ente auditor anexando el respectivo plan.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SEGUIMIENTO AL PLAN DE MEJORAMIENTO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La Unidad de Control Interno hará seguimiento trimestral al avance de las acciones y presentara un informe al Comité de Coordinación del Sistema de Control Interno, con cortes a: 30 de marzo, 30 de junio, 30 de septiembre y 31 de diciembre. Al término de los (6) seis meses, el Secretario de Despacho respectivo, deberá presentar un informe donde se certifiquen las acciones ejecutadas, los resultados obtenidos con las acciones realizadas y la fuente de evidencia que sustente el cumplimiento de las acciones.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El informe de seguimiento a los planes de mejoramiento de la Contraloría General de la Republica, serán presentados semestralmente a través del SIRECI (Sistema de Rendición Electrónica de Cuentas). 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Las Contraloría evaluaran semestralmente el avance de los planes de mejoramiento, con base en los reportes de seguimiento y en sus evidencias, con cortes a: 30 de junio y 31 de diciembre.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4. De conformidad con el artículo 10 de la Resolución 332 de 2011 de la Contraloría General Municipal, cada acción determinada por la entidad, será calificada de la siguiente manera: las acciones cumplidas totalmente se les otorga una calificación de dos (2) puntos; las acciones parcialmente cumplidas se les otorga una calificación de un (1) punto; las acciones que no se hayan cumplido se les otorga una calificación de cero (0) puntos.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CUANTIFICACION DE LOS BENEFICIOS DE LAS ACCIONES DE MEJORAMIENTO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1. Respecto de cada acción de mejoramiento se deben determinar los beneficios que de cada una de ellas obtenga o espera obtener la entidad. La información debe registrarse en miles de pesos y la entidad debe contar con los soportes necesarios que acrediten esas sumas. Una vez determinado que la acción de mejoramiento representa una recuperación o un ahorro, así debe registrarlo en la casilla respectiva. Son recuperaciones los bienes o derechos devueltos, reintegrados o reembolsados a la entidad como es el caso de recuperación de cartera, cobro de intereses moratorios, recuperación activos o eliminación de pasivos inexistentes.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2. Son ahorros, las erogaciones que la entidad evita con la acción de mejoramiento, como por ejemplo los recursos ahorrados con la modificación o supresión de una actividad, un proceso o una dependencia, la terminación o modificación de obligaciones o contratos, el uso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mas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eficiente de los recursos financieros, materiales y de talento humano, o la no realización de gastos indebidos.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No todas las acciones de mejoramiento generan un beneficio cuantificable en pesos, en estos caso se debe registrar que no aplica (NA).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CAUSAS DE PROCESOS SANCIONATORIOS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1. Se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dara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traslado a los entes competentes para iniciar las acciones disciplinarias correspondientes cuando hubiere lugar </w:t>
                        </w:r>
                        <w:proofErr w:type="gram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</w:t>
                        </w:r>
                        <w:proofErr w:type="gram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: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- La no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presentacion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del plan de mejoramiento en la forma y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terminos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establecidos.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La no presentación de informes de avance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Incumplimiento del plan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GENERAL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Una acción de mejora puede ser implementada bajo la responsabilidad de varias dependencias; cada una debe responder por sus actividades, pero la responsabilidad del plan recae en cabeza de la Secretaria responsable del hallazgo.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2. Pueden existir hallazgos en los cuales se debe establecer una corrección y una acción correctiva. De igual manera un plan de 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mejoramiento puede establecer acciones preventivas.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3. Las actividades de la acción de mejora deben ser medibles, cuantificables y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evidenciales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4. En el caso de que los hallazgos se relacionen con el manejo de recursos provenientes de organismos internacionales y de la banca multilateral como son respectivamente: PNUD, FIDA, BID y BIRF, entre otros, se debe formular un plan de mejoramiento, para el respectivo proyecto. El mismo, deberá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ser present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ado por la entidad beneficiaria que tenga mayor participación en el proyecto.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A cada hallazgo debe corresponder una acción de mejora, y una acción de mejora puede resolver varios hallazgos 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PLANES DE MEJORAMIENTO (Órganos de Control, Control Interno):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Conjunto de acciones correctivas o preventivas qu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 debe adelantar un sujeto de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control fiscal en un periodo determinado, para dar cumplimiento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 la obligación de subsanar y corregir las causas que dieron origen a los hallazgos administrativos identificados como resultado del ejercicio del proceso auditor, con el fin de adecuar la gestión fiscal a los principios de economía, eficiencia, eficacia, equidad o mitigar el impacto ambiental. 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HALLAZGO ADMINISTRATIVO: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Es toda situación que haga ineficaz, ineficiente, inequitativa,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antieco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nomica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o insostenible ambiental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t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e, la actuación del sujeto de control, o que viole la normatividad legal y reglamentaria. Pueden presentar efectos fiscales, penales o disciplinarios. 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ACCION CORRECTIVA: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Acción tomada para eliminar la causa de una no conformidad detectada u otra situación no deseable. Definición tomada de la Norma Técnica Colombiana NTC-ISO9000:2005, Instituto Colombiano de Normas Técnicas y Certificación (ICONTEC) 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ACCION PREVENTIVA: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Acción tomada para eliminar la causa de una no conformidad potencial u otra situación potencialmente no deseable. Definición tomada de la Norma Técnica Colombiana NTC-ISO9000:2005, Instituto Colombiano de Normas Técnicas y Certificación (ICONTEC). 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21E1C" w:rsidRPr="00C21E1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ACCION DE MEJORA:</w:t>
                        </w:r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Llamadas Notas de Mejora en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ISOlución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, son oportunidades detectadas que permiten ofrecer una mejora sustancial a los procesos, productos, servicios, procedimientos, instructivos ambiente de trabajo,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etc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 </w:t>
                        </w:r>
                      </w:p>
                    </w:tc>
                  </w:tr>
                  <w:tr w:rsidR="00C21E1C" w:rsidRPr="00C21E1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6. DOCUMENTACIÓN EXTERNA RELACIONADA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Recibir el informe definitivo de la auditoría y remitir copias a las Secretarías correspondientes y a la Unidad de Control Interno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remisorio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La remisión debe realizarse máximo al día siguiente del recibo del informe por parte del Despacho del Alcalde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Definir los responsables de cada hallazgo y enviar a cada responsable la parte del informe correspondiente.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Deben definirse los responsables de la elaboración del plan de mejoramiento con base en las responsabilidades asignadas a cada </w:t>
                  </w:r>
                  <w:proofErr w:type="spell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macroproceso</w:t>
                  </w:r>
                  <w:proofErr w:type="spell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proceso. </w:t>
                  </w: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Esto debe definirse máximo al día siguiente de recibido del informe.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Revisar, determinar, coordinar, acopiar y registrar las acciones de mejoramiento de los hallazgos encontrados en el formato respectivo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C21E1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Formulación de Planes de Mejoramiento</w:t>
                    </w:r>
                  </w:hyperlink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remisorio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Deben determinarse </w:t>
                  </w:r>
                  <w:proofErr w:type="gram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la acciones</w:t>
                  </w:r>
                  <w:proofErr w:type="gram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mejoramiento, el propósito, la descripción de las actividades, fuente de evidencia que sustentará el cumplimiento de las acciones, fecha de iniciación de actividad, fecha de vencimiento de la actividad y área responsable.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Elaborar dos copias con oficio remisorio del plan: una para la </w:t>
                  </w: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firma del Alcalde y otra para dejar en la Unidad de Control Interno.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Dos copias de oficio remisorio y </w:t>
                  </w: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planes de mejoramiento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El formato debe entregarse máximo en los 5 días hábiles </w:t>
                  </w: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siguientes al recibo de la información, en la Unidad de Control Interno, dejando una copia allí, y quedando con otra copia para la suscripción. El plan de mejoramiento también debe enviarse vía correo electrónico interno a la Unidad de Control Interno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proofErr w:type="spell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Recepcionar</w:t>
                  </w:r>
                  <w:proofErr w:type="spell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copias del plan de mejoramiento para la numeración y posterior seguimiento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- Andrea Restrepo Largo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remisorio con recibido</w:t>
                  </w: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Numeración del plan de mejoramiento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Recibir y firmar el plan de mejoramiento y el oficio remisorio que se enviará al organismo de control que realizo la auditoría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Firma del oficio remisorio y el plan de mejoramiento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Debe firmarse máximo a los dos días siguientes de recibido en el Despacho del Alcalde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Enviar al organismo de control con oficio remisorio copia del plan de mejoramiento suscrito. Enviar una copia del oficio remisorio con recibido a la Unidad de Control Interno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remisorio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Debe enviarse con máximo 3 días hábiles antes del vencimiento.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Realizar seguimiento y autoevaluación al plan de mejoramiento suscrito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C21E1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Autoevaluación y seguimiento a planes de mejoramiento (Organismos de Control y UCI)</w:t>
                    </w:r>
                  </w:hyperlink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Debe realizarlo trimestralmente y mantenerlo organizado con sus respectivas evidencias de cumplimiento registrado. 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Verificación del cumplimiento del plan de mejoramiento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- Andrea Restrepo Largo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C21E1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Verificación a planes de mejoramiento (Órganos de control y UCI)</w:t>
                    </w:r>
                  </w:hyperlink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verificación al avance de las acciones se hará trimestral, y presentará un informe al </w:t>
                  </w:r>
                  <w:proofErr w:type="spell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Comite</w:t>
                  </w:r>
                  <w:proofErr w:type="spell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Coordinación de Control Interno, con cortes a: 30 de marzo, 30 de junio , 30 de septiembre y 31 de diciembre 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Certificación del cumplimiento del plan de mejoramiento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C21E1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Certificación del cumplimiento del plan de mejoramiento (</w:t>
                    </w:r>
                    <w:proofErr w:type="spellStart"/>
                    <w:r w:rsidRPr="00C21E1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Órganismos</w:t>
                    </w:r>
                    <w:proofErr w:type="spellEnd"/>
                    <w:r w:rsidRPr="00C21E1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 xml:space="preserve"> de Control y UCI)</w:t>
                    </w:r>
                  </w:hyperlink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lang w:eastAsia="es-ES"/>
                    </w:rPr>
                    <w:t>Al termino de los (6) seis meses, el Secretario de Despacho respectivo, deberá presentar el formato de Certificación donde certifica las acciones ejecutadas, los resultados obtenidos con las acciones realizadas y la fuente de evidencia que sustente el cumplimiento de las acciones.  </w:t>
                  </w: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21E1C" w:rsidRPr="00C21E1C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21E1C" w:rsidRPr="00C21E1C" w:rsidTr="00C21E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21E1C" w:rsidRPr="00C21E1C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1E1C" w:rsidRPr="00C21E1C" w:rsidRDefault="00C21E1C" w:rsidP="00C2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21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21E1C" w:rsidRPr="00C2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07/Oct/2015</w:t>
                        </w: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Andrea Restrepo Largo</w:t>
                        </w:r>
                      </w:p>
                    </w:tc>
                  </w:tr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23/Nov/2015</w:t>
                        </w: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C21E1C" w:rsidRPr="00C21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1E1C" w:rsidRPr="00C21E1C" w:rsidRDefault="00C21E1C" w:rsidP="00C21E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23/</w:t>
                        </w:r>
                        <w:proofErr w:type="spellStart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C21E1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C21E1C" w:rsidRPr="00C21E1C" w:rsidRDefault="00C21E1C" w:rsidP="00C21E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21E1C" w:rsidRPr="00C21E1C" w:rsidRDefault="00C21E1C" w:rsidP="00C2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21E1C" w:rsidRDefault="00C21E1C"/>
    <w:sectPr w:rsidR="00C21E1C" w:rsidSect="00C21E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1C"/>
    <w:rsid w:val="001336B7"/>
    <w:rsid w:val="002D4109"/>
    <w:rsid w:val="00874852"/>
    <w:rsid w:val="00894079"/>
    <w:rsid w:val="00BB6CFF"/>
    <w:rsid w:val="00C21E1C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21E1C"/>
  </w:style>
  <w:style w:type="character" w:customStyle="1" w:styleId="datos">
    <w:name w:val="datos"/>
    <w:basedOn w:val="Fuentedeprrafopredeter"/>
    <w:rsid w:val="00C21E1C"/>
  </w:style>
  <w:style w:type="character" w:styleId="Hipervnculo">
    <w:name w:val="Hyperlink"/>
    <w:basedOn w:val="Fuentedeprrafopredeter"/>
    <w:uiPriority w:val="99"/>
    <w:semiHidden/>
    <w:unhideWhenUsed/>
    <w:rsid w:val="00C21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21E1C"/>
  </w:style>
  <w:style w:type="character" w:customStyle="1" w:styleId="datos">
    <w:name w:val="datos"/>
    <w:basedOn w:val="Fuentedeprrafopredeter"/>
    <w:rsid w:val="00C21E1C"/>
  </w:style>
  <w:style w:type="character" w:styleId="Hipervnculo">
    <w:name w:val="Hyperlink"/>
    <w:basedOn w:val="Fuentedeprrafopredeter"/>
    <w:uiPriority w:val="99"/>
    <w:semiHidden/>
    <w:unhideWhenUsed/>
    <w:rsid w:val="00C21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A/Autoevaluacionyseguimientoaplanesdemejoramiento(OrganismosdeControlyUCI)_v3/Autoevaluacionyseguimientoaplanesdemejoramiento(OrganismosdeControlyUCI)_v3.asp?IdArticulo=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F/FormulaciondePlanesdeMejoramiento_v2/FormulaciondePlanesdeMejoramiento_v2.asp?IdArticulo=6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C/Certificaciondelcumplimientodelplandemejoramiento(OrganismosdeControlyUCI)_v02/Certificaciondelcumplimientodelplandemejoramiento(OrganismosdeControlyUCI)_v02.asp?IdArticulo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V/Verificacionaplanesdemejoramiento(OrganosdecontrolyUCI)_v02/Verificacionaplanesdemejoramiento(OrganosdecontrolyUCI)_v02.asp?IdArticulo=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1833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2017-02-27T22:46:00Z</dcterms:created>
  <dcterms:modified xsi:type="dcterms:W3CDTF">2017-02-27T22:51:00Z</dcterms:modified>
</cp:coreProperties>
</file>