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263122" w:rsidRPr="00263122" w:rsidTr="00263122">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263122" w:rsidRPr="00263122">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PROCEDIMIENTO</w:t>
                  </w:r>
                </w:p>
              </w:tc>
            </w:tr>
            <w:tr w:rsidR="00263122" w:rsidRPr="002631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CONTROL A LA EVASIÓN Y ELUSIÓN DE LOS AFILIADOS AL RÉGIMEN SUBSIDIADO</w:t>
                  </w:r>
                </w:p>
              </w:tc>
            </w:tr>
            <w:tr w:rsidR="00263122" w:rsidRPr="002631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VERSIÓN 002</w:t>
                  </w:r>
                </w:p>
              </w:tc>
            </w:tr>
            <w:tr w:rsidR="00263122" w:rsidRPr="002631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CÓDIGO GSP-AGC-PR-005</w:t>
                  </w:r>
                </w:p>
              </w:tc>
            </w:tr>
          </w:tbl>
          <w:p w:rsidR="00263122" w:rsidRPr="00263122" w:rsidRDefault="00263122" w:rsidP="00263122">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263122" w:rsidRPr="00263122">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right"/>
                    <w:rPr>
                      <w:rFonts w:ascii="Calibri" w:eastAsia="Times New Roman" w:hAnsi="Calibri" w:cs="Times New Roman"/>
                      <w:b/>
                      <w:bCs/>
                      <w:caps/>
                      <w:color w:val="000000"/>
                      <w:sz w:val="24"/>
                      <w:szCs w:val="24"/>
                      <w:lang w:eastAsia="es-ES"/>
                    </w:rPr>
                  </w:pPr>
                  <w:r w:rsidRPr="00263122">
                    <w:rPr>
                      <w:rFonts w:ascii="Calibri" w:eastAsia="Times New Roman" w:hAnsi="Calibri" w:cs="Times New Roman"/>
                      <w:b/>
                      <w:bCs/>
                      <w:caps/>
                      <w:color w:val="000000"/>
                      <w:sz w:val="24"/>
                      <w:szCs w:val="24"/>
                      <w:lang w:eastAsia="es-ES"/>
                    </w:rPr>
                    <w:t>ESTADO VIGENTE</w:t>
                  </w: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1. OBJETIVO</w:t>
                  </w:r>
                </w:p>
              </w:tc>
            </w:tr>
            <w:tr w:rsidR="00263122" w:rsidRPr="0026312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r w:rsidR="00263122" w:rsidRPr="00263122">
                    <w:trPr>
                      <w:tblCellSpacing w:w="0" w:type="dxa"/>
                    </w:trPr>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Identificar los afiliados que presuntamente tengan capacidad de pago para ser afiliados al régimen contributivo o aquellos que se encuentre </w:t>
                        </w:r>
                        <w:proofErr w:type="spellStart"/>
                        <w:r w:rsidRPr="00263122">
                          <w:rPr>
                            <w:rFonts w:ascii="Calibri" w:eastAsia="Times New Roman" w:hAnsi="Calibri" w:cs="Times New Roman"/>
                            <w:lang w:eastAsia="es-ES"/>
                          </w:rPr>
                          <w:t>multiafiliados</w:t>
                        </w:r>
                        <w:proofErr w:type="spellEnd"/>
                        <w:r w:rsidRPr="00263122">
                          <w:rPr>
                            <w:rFonts w:ascii="Calibri" w:eastAsia="Times New Roman" w:hAnsi="Calibri" w:cs="Times New Roman"/>
                            <w:lang w:eastAsia="es-ES"/>
                          </w:rPr>
                          <w:t xml:space="preserve">  </w:t>
                        </w:r>
                      </w:p>
                    </w:tc>
                  </w:tr>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2. ALCANCE</w:t>
                  </w:r>
                </w:p>
              </w:tc>
            </w:tr>
            <w:tr w:rsidR="00263122" w:rsidRPr="0026312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r w:rsidR="00263122" w:rsidRPr="00263122">
                    <w:trPr>
                      <w:tblCellSpacing w:w="0" w:type="dxa"/>
                    </w:trPr>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Desde la solicitud de cruce de base de datos hasta el Reporte de Resolución de retiro al área financiera de la Secretaria de Salud Pública </w:t>
                        </w:r>
                      </w:p>
                    </w:tc>
                  </w:tr>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3. RESPONSABLE</w:t>
                  </w:r>
                </w:p>
              </w:tc>
            </w:tr>
            <w:tr w:rsidR="00263122" w:rsidRPr="00263122">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263122" w:rsidRPr="00263122">
                    <w:trPr>
                      <w:tblCellSpacing w:w="15" w:type="dxa"/>
                    </w:trPr>
                    <w:tc>
                      <w:tcPr>
                        <w:tcW w:w="15" w:type="dxa"/>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p>
                    </w:tc>
                    <w:tc>
                      <w:tcPr>
                        <w:tcW w:w="5000" w:type="pct"/>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Natalia Londoño Hernández</w:t>
                        </w:r>
                      </w:p>
                    </w:tc>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4. CONDICIONES GENERALES</w:t>
                  </w:r>
                </w:p>
              </w:tc>
            </w:tr>
            <w:tr w:rsidR="00263122" w:rsidRPr="00263122">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r w:rsidR="00263122" w:rsidRPr="00263122">
                    <w:trPr>
                      <w:tblCellSpacing w:w="0" w:type="dxa"/>
                    </w:trPr>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63122" w:rsidRPr="00263122" w:rsidRDefault="00263122" w:rsidP="00263122">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 xml:space="preserve">1. Para la identificación de las personas que están afiliadas al Régimen Subsidiado y presuntamente tienen capacidad de pago para cotizar el Régimen Contributivo, se solicita cruces de bases de datos mediante solicitud que se envía a las siguientes entidades: Secretaría </w:t>
                        </w:r>
                        <w:r w:rsidRPr="00263122">
                          <w:rPr>
                            <w:rFonts w:ascii="Calibri" w:eastAsia="Times New Roman" w:hAnsi="Calibri" w:cs="Times New Roman"/>
                            <w:lang w:eastAsia="es-ES"/>
                          </w:rPr>
                          <w:lastRenderedPageBreak/>
                          <w:t>de Tránsito y Transporte (En el primer semestre de cada año), La Unidad de Rentas (Predial, en el primer semestre de cada año), Industria y Comercio (Se solicita en Junio de cada año, ya que los vencimientos se inician en el mes de mayo de cada año), Dirección de Impuestos y Aduanas Nacionales - DIAN (Se solicita cada año) y la Unidad de Gestión de Pensiones y Aportes Parafiscales del Ministerio de Hacienda - UGPP (Se solicita cada año). </w:t>
                        </w:r>
                        <w:r w:rsidRPr="00263122">
                          <w:rPr>
                            <w:rFonts w:ascii="Calibri" w:eastAsia="Times New Roman" w:hAnsi="Calibri" w:cs="Times New Roman"/>
                            <w:lang w:eastAsia="es-ES"/>
                          </w:rPr>
                          <w:br/>
                        </w:r>
                        <w:r w:rsidRPr="00263122">
                          <w:rPr>
                            <w:rFonts w:ascii="Calibri" w:eastAsia="Times New Roman" w:hAnsi="Calibri" w:cs="Times New Roman"/>
                            <w:lang w:eastAsia="es-ES"/>
                          </w:rPr>
                          <w:br/>
                          <w:t xml:space="preserve">2. Para el caso de los </w:t>
                        </w:r>
                        <w:proofErr w:type="spellStart"/>
                        <w:r w:rsidRPr="00263122">
                          <w:rPr>
                            <w:rFonts w:ascii="Calibri" w:eastAsia="Times New Roman" w:hAnsi="Calibri" w:cs="Times New Roman"/>
                            <w:lang w:eastAsia="es-ES"/>
                          </w:rPr>
                          <w:t>Multiafiliados</w:t>
                        </w:r>
                        <w:proofErr w:type="spellEnd"/>
                        <w:r w:rsidRPr="00263122">
                          <w:rPr>
                            <w:rFonts w:ascii="Calibri" w:eastAsia="Times New Roman" w:hAnsi="Calibri" w:cs="Times New Roman"/>
                            <w:lang w:eastAsia="es-ES"/>
                          </w:rPr>
                          <w:t xml:space="preserve"> se realiza cruce de base de datos con la Dirección Territorial de Salud de Caldas cada 2 meses </w:t>
                        </w:r>
                        <w:r w:rsidRPr="00263122">
                          <w:rPr>
                            <w:rFonts w:ascii="Calibri" w:eastAsia="Times New Roman" w:hAnsi="Calibri" w:cs="Times New Roman"/>
                            <w:lang w:eastAsia="es-ES"/>
                          </w:rPr>
                          <w:br/>
                        </w:r>
                        <w:r w:rsidRPr="00263122">
                          <w:rPr>
                            <w:rFonts w:ascii="Calibri" w:eastAsia="Times New Roman" w:hAnsi="Calibri" w:cs="Times New Roman"/>
                            <w:lang w:eastAsia="es-ES"/>
                          </w:rPr>
                          <w:br/>
                          <w:t xml:space="preserve">3. Para los </w:t>
                        </w:r>
                        <w:proofErr w:type="spellStart"/>
                        <w:r w:rsidRPr="00263122">
                          <w:rPr>
                            <w:rFonts w:ascii="Calibri" w:eastAsia="Times New Roman" w:hAnsi="Calibri" w:cs="Times New Roman"/>
                            <w:lang w:eastAsia="es-ES"/>
                          </w:rPr>
                          <w:t>Mltiafiliados</w:t>
                        </w:r>
                        <w:proofErr w:type="spellEnd"/>
                        <w:r w:rsidRPr="00263122">
                          <w:rPr>
                            <w:rFonts w:ascii="Calibri" w:eastAsia="Times New Roman" w:hAnsi="Calibri" w:cs="Times New Roman"/>
                            <w:lang w:eastAsia="es-ES"/>
                          </w:rPr>
                          <w:t xml:space="preserve"> de </w:t>
                        </w:r>
                        <w:proofErr w:type="spellStart"/>
                        <w:r w:rsidRPr="00263122">
                          <w:rPr>
                            <w:rFonts w:ascii="Calibri" w:eastAsia="Times New Roman" w:hAnsi="Calibri" w:cs="Times New Roman"/>
                            <w:lang w:eastAsia="es-ES"/>
                          </w:rPr>
                          <w:t>Regimenes</w:t>
                        </w:r>
                        <w:proofErr w:type="spellEnd"/>
                        <w:r w:rsidRPr="00263122">
                          <w:rPr>
                            <w:rFonts w:ascii="Calibri" w:eastAsia="Times New Roman" w:hAnsi="Calibri" w:cs="Times New Roman"/>
                            <w:lang w:eastAsia="es-ES"/>
                          </w:rPr>
                          <w:t xml:space="preserve"> Especiales, se realiza cruce de bases de datos con las Fuerzas militares (</w:t>
                        </w:r>
                        <w:proofErr w:type="gramStart"/>
                        <w:r w:rsidRPr="00263122">
                          <w:rPr>
                            <w:rFonts w:ascii="Calibri" w:eastAsia="Times New Roman" w:hAnsi="Calibri" w:cs="Times New Roman"/>
                            <w:lang w:eastAsia="es-ES"/>
                          </w:rPr>
                          <w:t>Ejercito</w:t>
                        </w:r>
                        <w:proofErr w:type="gramEnd"/>
                        <w:r w:rsidRPr="00263122">
                          <w:rPr>
                            <w:rFonts w:ascii="Calibri" w:eastAsia="Times New Roman" w:hAnsi="Calibri" w:cs="Times New Roman"/>
                            <w:lang w:eastAsia="es-ES"/>
                          </w:rPr>
                          <w:t xml:space="preserve"> y </w:t>
                        </w:r>
                        <w:proofErr w:type="spellStart"/>
                        <w:r w:rsidRPr="00263122">
                          <w:rPr>
                            <w:rFonts w:ascii="Calibri" w:eastAsia="Times New Roman" w:hAnsi="Calibri" w:cs="Times New Roman"/>
                            <w:lang w:eastAsia="es-ES"/>
                          </w:rPr>
                          <w:t>policia</w:t>
                        </w:r>
                        <w:proofErr w:type="spellEnd"/>
                        <w:r w:rsidRPr="00263122">
                          <w:rPr>
                            <w:rFonts w:ascii="Calibri" w:eastAsia="Times New Roman" w:hAnsi="Calibri" w:cs="Times New Roman"/>
                            <w:lang w:eastAsia="es-ES"/>
                          </w:rPr>
                          <w:t xml:space="preserve">) y con las entidades Ecopetrol, </w:t>
                        </w:r>
                        <w:proofErr w:type="spellStart"/>
                        <w:r w:rsidRPr="00263122">
                          <w:rPr>
                            <w:rFonts w:ascii="Calibri" w:eastAsia="Times New Roman" w:hAnsi="Calibri" w:cs="Times New Roman"/>
                            <w:lang w:eastAsia="es-ES"/>
                          </w:rPr>
                          <w:t>Unisalud</w:t>
                        </w:r>
                        <w:proofErr w:type="spellEnd"/>
                        <w:r w:rsidRPr="00263122">
                          <w:rPr>
                            <w:rFonts w:ascii="Calibri" w:eastAsia="Times New Roman" w:hAnsi="Calibri" w:cs="Times New Roman"/>
                            <w:lang w:eastAsia="es-ES"/>
                          </w:rPr>
                          <w:t xml:space="preserve"> y Magisterio. Este proceso se realiza cada 3 meses y en este caso solo se identifican los afiliados al Régimen Subsidiado y se procede a realizar el respectivo retiro.</w:t>
                        </w:r>
                        <w:r w:rsidRPr="00263122">
                          <w:rPr>
                            <w:rFonts w:ascii="Calibri" w:eastAsia="Times New Roman" w:hAnsi="Calibri" w:cs="Times New Roman"/>
                            <w:lang w:eastAsia="es-ES"/>
                          </w:rPr>
                          <w:br/>
                        </w:r>
                        <w:r w:rsidRPr="00263122">
                          <w:rPr>
                            <w:rFonts w:ascii="Calibri" w:eastAsia="Times New Roman" w:hAnsi="Calibri" w:cs="Times New Roman"/>
                            <w:lang w:eastAsia="es-ES"/>
                          </w:rPr>
                          <w:br/>
                          <w:t xml:space="preserve">4. Para el caso de la </w:t>
                        </w:r>
                        <w:proofErr w:type="spellStart"/>
                        <w:r w:rsidRPr="00263122">
                          <w:rPr>
                            <w:rFonts w:ascii="Calibri" w:eastAsia="Times New Roman" w:hAnsi="Calibri" w:cs="Times New Roman"/>
                            <w:lang w:eastAsia="es-ES"/>
                          </w:rPr>
                          <w:t>Multiafiliación</w:t>
                        </w:r>
                        <w:proofErr w:type="spellEnd"/>
                        <w:r w:rsidRPr="00263122">
                          <w:rPr>
                            <w:rFonts w:ascii="Calibri" w:eastAsia="Times New Roman" w:hAnsi="Calibri" w:cs="Times New Roman"/>
                            <w:lang w:eastAsia="es-ES"/>
                          </w:rPr>
                          <w:t xml:space="preserve"> con otros municipios de Caldas, se realiza cruce con la Base de datos de la Dirección Territorial de Caldas.  </w:t>
                        </w:r>
                      </w:p>
                    </w:tc>
                  </w:tr>
                  <w:tr w:rsidR="00263122" w:rsidRPr="00263122">
                    <w:trPr>
                      <w:trHeight w:val="75"/>
                      <w:tblCellSpacing w:w="0" w:type="dxa"/>
                    </w:trPr>
                    <w:tc>
                      <w:tcPr>
                        <w:tcW w:w="0" w:type="auto"/>
                        <w:gridSpan w:val="4"/>
                        <w:vAlign w:val="center"/>
                        <w:hideMark/>
                      </w:tcPr>
                      <w:p w:rsidR="00263122" w:rsidRPr="00263122" w:rsidRDefault="00263122" w:rsidP="00263122">
                        <w:pPr>
                          <w:spacing w:after="0" w:line="240" w:lineRule="auto"/>
                          <w:jc w:val="both"/>
                          <w:rPr>
                            <w:rFonts w:ascii="Calibri" w:eastAsia="Times New Roman" w:hAnsi="Calibri" w:cs="Times New Roman"/>
                            <w:sz w:val="8"/>
                            <w:lang w:eastAsia="es-ES"/>
                          </w:rPr>
                        </w:pP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5. DEFINICIONES</w:t>
                  </w:r>
                </w:p>
              </w:tc>
            </w:tr>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6. DOCUMENTACIÓN EXTERNA RELACIONADA</w:t>
                  </w:r>
                </w:p>
              </w:tc>
            </w:tr>
            <w:tr w:rsidR="00263122" w:rsidRPr="00263122">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263122" w:rsidRPr="00263122">
                    <w:trPr>
                      <w:tblCellSpacing w:w="15" w:type="dxa"/>
                    </w:trPr>
                    <w:tc>
                      <w:tcPr>
                        <w:tcW w:w="15" w:type="dxa"/>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p>
                    </w:tc>
                    <w:tc>
                      <w:tcPr>
                        <w:tcW w:w="5000" w:type="pct"/>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r>
                        <w:hyperlink r:id="rId7" w:history="1">
                          <w:r w:rsidRPr="00263122">
                            <w:rPr>
                              <w:rFonts w:ascii="Calibri" w:eastAsia="Times New Roman" w:hAnsi="Calibri" w:cs="Times New Roman"/>
                              <w:color w:val="0000FF"/>
                              <w:u w:val="single"/>
                              <w:lang w:eastAsia="es-ES"/>
                            </w:rPr>
                            <w:t>- Resolución 1344 de 2012</w:t>
                          </w:r>
                        </w:hyperlink>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7. DESARROLLO</w:t>
                  </w: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263122" w:rsidRPr="00263122">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CÓMO LO HACE</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Solicitar el cruce de base de datos hasta el registro de la novedad al SAYP (Sistema de Administración y Pagos)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Se solicita cruce de base de datos de afiliados </w:t>
                  </w:r>
                  <w:proofErr w:type="spellStart"/>
                  <w:r w:rsidRPr="00263122">
                    <w:rPr>
                      <w:rFonts w:ascii="Calibri" w:eastAsia="Times New Roman" w:hAnsi="Calibri" w:cs="Times New Roman"/>
                      <w:lang w:eastAsia="es-ES"/>
                    </w:rPr>
                    <w:t>a</w:t>
                  </w:r>
                  <w:proofErr w:type="spellEnd"/>
                  <w:r w:rsidRPr="00263122">
                    <w:rPr>
                      <w:rFonts w:ascii="Calibri" w:eastAsia="Times New Roman" w:hAnsi="Calibri" w:cs="Times New Roman"/>
                      <w:lang w:eastAsia="es-ES"/>
                    </w:rPr>
                    <w:t xml:space="preserve"> régimen subsidiado con la entidad receptora, como: </w:t>
                  </w:r>
                  <w:r w:rsidRPr="00263122">
                    <w:rPr>
                      <w:rFonts w:ascii="Calibri" w:eastAsia="Times New Roman" w:hAnsi="Calibri" w:cs="Times New Roman"/>
                      <w:lang w:eastAsia="es-ES"/>
                    </w:rPr>
                    <w:br/>
                  </w:r>
                  <w:r w:rsidRPr="00263122">
                    <w:rPr>
                      <w:rFonts w:ascii="Calibri" w:eastAsia="Times New Roman" w:hAnsi="Calibri" w:cs="Times New Roman"/>
                      <w:lang w:eastAsia="es-ES"/>
                    </w:rPr>
                    <w:br/>
                    <w:t xml:space="preserve">- Unidad de Rentas Municipal, para cruzar con la base de datos </w:t>
                  </w:r>
                  <w:r w:rsidRPr="00263122">
                    <w:rPr>
                      <w:rFonts w:ascii="Calibri" w:eastAsia="Times New Roman" w:hAnsi="Calibri" w:cs="Times New Roman"/>
                      <w:lang w:eastAsia="es-ES"/>
                    </w:rPr>
                    <w:lastRenderedPageBreak/>
                    <w:t>del Predial y la del Impuesto de Industria y Comercio.</w:t>
                  </w:r>
                  <w:r w:rsidRPr="00263122">
                    <w:rPr>
                      <w:rFonts w:ascii="Calibri" w:eastAsia="Times New Roman" w:hAnsi="Calibri" w:cs="Times New Roman"/>
                      <w:lang w:eastAsia="es-ES"/>
                    </w:rPr>
                    <w:br/>
                    <w:t>- Secretaría de Tránsito y Transporte, para cruzar base de datos de propietarios de vehículos de servicio particular y público.</w:t>
                  </w:r>
                  <w:r w:rsidRPr="00263122">
                    <w:rPr>
                      <w:rFonts w:ascii="Calibri" w:eastAsia="Times New Roman" w:hAnsi="Calibri" w:cs="Times New Roman"/>
                      <w:lang w:eastAsia="es-ES"/>
                    </w:rPr>
                    <w:br/>
                    <w:t>- DIAN, para cruzar base de datos con declarantes de rentas y complementarios.</w:t>
                  </w:r>
                  <w:r w:rsidRPr="00263122">
                    <w:rPr>
                      <w:rFonts w:ascii="Calibri" w:eastAsia="Times New Roman" w:hAnsi="Calibri" w:cs="Times New Roman"/>
                      <w:lang w:eastAsia="es-ES"/>
                    </w:rPr>
                    <w:br/>
                    <w:t xml:space="preserve">- Dirección Territorial de Salud de Caldas y </w:t>
                  </w:r>
                  <w:proofErr w:type="spellStart"/>
                  <w:r w:rsidRPr="00263122">
                    <w:rPr>
                      <w:rFonts w:ascii="Calibri" w:eastAsia="Times New Roman" w:hAnsi="Calibri" w:cs="Times New Roman"/>
                      <w:lang w:eastAsia="es-ES"/>
                    </w:rPr>
                    <w:t>Régimenes</w:t>
                  </w:r>
                  <w:proofErr w:type="spellEnd"/>
                  <w:r w:rsidRPr="00263122">
                    <w:rPr>
                      <w:rFonts w:ascii="Calibri" w:eastAsia="Times New Roman" w:hAnsi="Calibri" w:cs="Times New Roman"/>
                      <w:lang w:eastAsia="es-ES"/>
                    </w:rPr>
                    <w:t xml:space="preserve"> especiales para el caso de </w:t>
                  </w:r>
                  <w:proofErr w:type="spellStart"/>
                  <w:r w:rsidRPr="00263122">
                    <w:rPr>
                      <w:rFonts w:ascii="Calibri" w:eastAsia="Times New Roman" w:hAnsi="Calibri" w:cs="Times New Roman"/>
                      <w:lang w:eastAsia="es-ES"/>
                    </w:rPr>
                    <w:t>multiafiliados</w:t>
                  </w:r>
                  <w:proofErr w:type="spellEnd"/>
                  <w:r w:rsidRPr="00263122">
                    <w:rPr>
                      <w:rFonts w:ascii="Calibri" w:eastAsia="Times New Roman" w:hAnsi="Calibri" w:cs="Times New Roman"/>
                      <w:lang w:eastAsia="es-ES"/>
                    </w:rPr>
                    <w:t>.</w:t>
                  </w:r>
                  <w:r w:rsidRPr="00263122">
                    <w:rPr>
                      <w:rFonts w:ascii="Calibri" w:eastAsia="Times New Roman" w:hAnsi="Calibri" w:cs="Times New Roman"/>
                      <w:lang w:eastAsia="es-ES"/>
                    </w:rPr>
                    <w:br/>
                  </w:r>
                  <w:r w:rsidRPr="00263122">
                    <w:rPr>
                      <w:rFonts w:ascii="Calibri" w:eastAsia="Times New Roman" w:hAnsi="Calibri" w:cs="Times New Roman"/>
                      <w:lang w:eastAsia="es-ES"/>
                    </w:rPr>
                    <w:br/>
                    <w:t>Se debe tener en cuenta que si pasado un mes no se ha tenido respuesta de las entidades, se realiza un segundo requerimiento, pero si aún no se obtiene respuesta el tercer requerimiento se realiza con copia a la contraloría.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Recibir y enviar la información del cruce de bases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recibe la información con el objetivo de hacer seguimiento a la calidad y oportunidad de la respuesta enviada por las entidades.</w:t>
                  </w:r>
                  <w:r w:rsidRPr="00263122">
                    <w:rPr>
                      <w:rFonts w:ascii="Calibri" w:eastAsia="Times New Roman" w:hAnsi="Calibri" w:cs="Times New Roman"/>
                      <w:lang w:eastAsia="es-ES"/>
                    </w:rPr>
                    <w:br/>
                    <w:t xml:space="preserve">Ésta información inmediatamente se envía por electrónico al área de Base de </w:t>
                  </w:r>
                  <w:r w:rsidRPr="00263122">
                    <w:rPr>
                      <w:rFonts w:ascii="Calibri" w:eastAsia="Times New Roman" w:hAnsi="Calibri" w:cs="Times New Roman"/>
                      <w:lang w:eastAsia="es-ES"/>
                    </w:rPr>
                    <w:lastRenderedPageBreak/>
                    <w:t>Datos de Aseguramiento, con el fin de que se verifique la información enviada por la entidad.</w:t>
                  </w:r>
                  <w:r w:rsidRPr="00263122">
                    <w:rPr>
                      <w:rFonts w:ascii="Calibri" w:eastAsia="Times New Roman" w:hAnsi="Calibri" w:cs="Times New Roman"/>
                      <w:lang w:eastAsia="es-ES"/>
                    </w:rPr>
                    <w:br/>
                    <w:t>La información debe ser enviada en un plazo máximo de 2 días hábiles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Realizar informe de inconsistencias encontradas durante la revisión de las bases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Jhon</w:t>
                  </w:r>
                  <w:proofErr w:type="spellEnd"/>
                  <w:r w:rsidRPr="00263122">
                    <w:rPr>
                      <w:rFonts w:ascii="Calibri" w:eastAsia="Times New Roman" w:hAnsi="Calibri" w:cs="Times New Roman"/>
                      <w:lang w:eastAsia="es-ES"/>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Informe de inconsistencias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Con la información obtenida se verifica que coincida la información registrada en cada una de las bases de datos (que las personas aparezcan activas, suspendidas, retiradas o no exista en la base de datos) y se realiza un informe de inconsistencias generado en el sistema y se envía a las Auditoras, la Coordinadora y a la Contratista de Aseguramiento.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Depurar la información definitiva según las variables establecidas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Jhon</w:t>
                  </w:r>
                  <w:proofErr w:type="spellEnd"/>
                  <w:r w:rsidRPr="00263122">
                    <w:rPr>
                      <w:rFonts w:ascii="Calibri" w:eastAsia="Times New Roman" w:hAnsi="Calibri" w:cs="Times New Roman"/>
                      <w:lang w:eastAsia="es-ES"/>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realiza la depuración de la información de acuerdo a las siguientes variables:</w:t>
                  </w:r>
                  <w:r w:rsidRPr="00263122">
                    <w:rPr>
                      <w:rFonts w:ascii="Calibri" w:eastAsia="Times New Roman" w:hAnsi="Calibri" w:cs="Times New Roman"/>
                      <w:lang w:eastAsia="es-ES"/>
                    </w:rPr>
                    <w:br/>
                    <w:t xml:space="preserve">Para el predial se tiene en cuenta los afiliados propietarios de viviendas con avalúo igual o superior a 120 millones de pesos. Toda vez que el avalúo catastral representa el 50% del valor comercial, lo que se constituye </w:t>
                  </w:r>
                  <w:r w:rsidRPr="00263122">
                    <w:rPr>
                      <w:rFonts w:ascii="Calibri" w:eastAsia="Times New Roman" w:hAnsi="Calibri" w:cs="Times New Roman"/>
                      <w:lang w:eastAsia="es-ES"/>
                    </w:rPr>
                    <w:lastRenderedPageBreak/>
                    <w:t>en la línea base para la venta del inmueble.</w:t>
                  </w:r>
                  <w:r w:rsidRPr="00263122">
                    <w:rPr>
                      <w:rFonts w:ascii="Calibri" w:eastAsia="Times New Roman" w:hAnsi="Calibri" w:cs="Times New Roman"/>
                      <w:lang w:eastAsia="es-ES"/>
                    </w:rPr>
                    <w:br/>
                    <w:t>Para Industria y Comercio se tienen en cuenta los afiliados al régimen subsidiado que son declarantes de industria y comercio, que perciben ingresos brutos igual o superior a 3 S.M.L.M.V, correspondiente al año gravable.</w:t>
                  </w:r>
                  <w:r w:rsidRPr="00263122">
                    <w:rPr>
                      <w:rFonts w:ascii="Calibri" w:eastAsia="Times New Roman" w:hAnsi="Calibri" w:cs="Times New Roman"/>
                      <w:lang w:eastAsia="es-ES"/>
                    </w:rPr>
                    <w:br/>
                    <w:t xml:space="preserve">Con la Secretaría de Tránsito y Transporte se identifican los afiliados que posean vehículos particulares con últimos modelos, es decir, los últimos 5 años. Se parte de la base que la adquisición de estos bienes implican ingresos de 2 S.M.L.M.V para soportar la compra y/o crédito y así mismo el pago de impuestos anuales y seguros. Situación similar para propietarios de vehículos de </w:t>
                  </w:r>
                  <w:proofErr w:type="gramStart"/>
                  <w:r w:rsidRPr="00263122">
                    <w:rPr>
                      <w:rFonts w:ascii="Calibri" w:eastAsia="Times New Roman" w:hAnsi="Calibri" w:cs="Times New Roman"/>
                      <w:lang w:eastAsia="es-ES"/>
                    </w:rPr>
                    <w:t xml:space="preserve">servicios </w:t>
                  </w:r>
                  <w:r>
                    <w:rPr>
                      <w:rFonts w:ascii="Calibri" w:eastAsia="Times New Roman" w:hAnsi="Calibri" w:cs="Times New Roman"/>
                      <w:lang w:eastAsia="es-ES"/>
                    </w:rPr>
                    <w:t xml:space="preserve"> </w:t>
                  </w:r>
                  <w:bookmarkStart w:id="0" w:name="_GoBack"/>
                  <w:bookmarkEnd w:id="0"/>
                  <w:r w:rsidRPr="00263122">
                    <w:rPr>
                      <w:rFonts w:ascii="Calibri" w:eastAsia="Times New Roman" w:hAnsi="Calibri" w:cs="Times New Roman"/>
                      <w:lang w:eastAsia="es-ES"/>
                    </w:rPr>
                    <w:t>público</w:t>
                  </w:r>
                  <w:proofErr w:type="gramEnd"/>
                  <w:r w:rsidRPr="00263122">
                    <w:rPr>
                      <w:rFonts w:ascii="Calibri" w:eastAsia="Times New Roman" w:hAnsi="Calibri" w:cs="Times New Roman"/>
                      <w:lang w:eastAsia="es-ES"/>
                    </w:rPr>
                    <w:t>, toda vez que se genera actividad económica, lo que implica afiliación como cotizante al régimen contributivo.</w:t>
                  </w:r>
                  <w:r w:rsidRPr="00263122">
                    <w:rPr>
                      <w:rFonts w:ascii="Calibri" w:eastAsia="Times New Roman" w:hAnsi="Calibri" w:cs="Times New Roman"/>
                      <w:lang w:eastAsia="es-ES"/>
                    </w:rPr>
                    <w:br/>
                    <w:t xml:space="preserve">Con la DIAN se identifican aquellas personas afiliadas que </w:t>
                  </w:r>
                  <w:r w:rsidRPr="00263122">
                    <w:rPr>
                      <w:rFonts w:ascii="Calibri" w:eastAsia="Times New Roman" w:hAnsi="Calibri" w:cs="Times New Roman"/>
                      <w:lang w:eastAsia="es-ES"/>
                    </w:rPr>
                    <w:lastRenderedPageBreak/>
                    <w:t>cruzan como declarantes (contribuyentes declarantes de renta y complementarios) ante dicha entidad.</w:t>
                  </w:r>
                  <w:r w:rsidRPr="00263122">
                    <w:rPr>
                      <w:rFonts w:ascii="Calibri" w:eastAsia="Times New Roman" w:hAnsi="Calibri" w:cs="Times New Roman"/>
                      <w:lang w:eastAsia="es-ES"/>
                    </w:rPr>
                    <w:br/>
                  </w:r>
                  <w:r w:rsidRPr="00263122">
                    <w:rPr>
                      <w:rFonts w:ascii="Calibri" w:eastAsia="Times New Roman" w:hAnsi="Calibri" w:cs="Times New Roman"/>
                      <w:lang w:eastAsia="es-ES"/>
                    </w:rPr>
                    <w:br/>
                    <w:t>Este análisis debe realizarse en un plazo máximo de 3 días hábiles para identificar posibles cancelaciones.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Preparar y realizar autos de apertura de procedimiento administrativo general de cancelación de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w:t>
                  </w:r>
                  <w:r w:rsidRPr="00263122">
                    <w:rPr>
                      <w:rFonts w:ascii="Calibri" w:eastAsia="Times New Roman" w:hAnsi="Calibri" w:cs="Times New Roman"/>
                      <w:lang w:eastAsia="es-ES"/>
                    </w:rPr>
                    <w:br/>
                    <w:t xml:space="preserve">- </w:t>
                  </w:r>
                  <w:proofErr w:type="spellStart"/>
                  <w:r w:rsidRPr="00263122">
                    <w:rPr>
                      <w:rFonts w:ascii="Calibri" w:eastAsia="Times New Roman" w:hAnsi="Calibri" w:cs="Times New Roman"/>
                      <w:lang w:eastAsia="es-ES"/>
                    </w:rPr>
                    <w:t>Andres</w:t>
                  </w:r>
                  <w:proofErr w:type="spellEnd"/>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Mejia</w:t>
                  </w:r>
                  <w:proofErr w:type="spellEnd"/>
                  <w:r w:rsidRPr="00263122">
                    <w:rPr>
                      <w:rFonts w:ascii="Calibri" w:eastAsia="Times New Roman" w:hAnsi="Calibri" w:cs="Times New Roman"/>
                      <w:lang w:eastAsia="es-ES"/>
                    </w:rPr>
                    <w:t xml:space="preserve"> Arias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Actos administrativos de suspensión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Con la depuración de la información realizada de acuerdo a las variables, se identifican las cancelaciones de afiliación a realizar.</w:t>
                  </w:r>
                  <w:r w:rsidRPr="00263122">
                    <w:rPr>
                      <w:rFonts w:ascii="Calibri" w:eastAsia="Times New Roman" w:hAnsi="Calibri" w:cs="Times New Roman"/>
                      <w:lang w:eastAsia="es-ES"/>
                    </w:rPr>
                    <w:br/>
                  </w:r>
                  <w:r w:rsidRPr="00263122">
                    <w:rPr>
                      <w:rFonts w:ascii="Calibri" w:eastAsia="Times New Roman" w:hAnsi="Calibri" w:cs="Times New Roman"/>
                      <w:lang w:eastAsia="es-ES"/>
                    </w:rPr>
                    <w:br/>
                    <w:t xml:space="preserve">La contratista de Aseguramiento debe preparar los autos de apertura de procedimiento administrativo general de cancelación de afiliación para ser notificados a los afiliados, las EPS, La dirección Territorial de Salud de Caldas y </w:t>
                  </w:r>
                  <w:proofErr w:type="spellStart"/>
                  <w:r w:rsidRPr="00263122">
                    <w:rPr>
                      <w:rFonts w:ascii="Calibri" w:eastAsia="Times New Roman" w:hAnsi="Calibri" w:cs="Times New Roman"/>
                      <w:lang w:eastAsia="es-ES"/>
                    </w:rPr>
                    <w:t>Assbasalud</w:t>
                  </w:r>
                  <w:proofErr w:type="spellEnd"/>
                  <w:r w:rsidRPr="00263122">
                    <w:rPr>
                      <w:rFonts w:ascii="Calibri" w:eastAsia="Times New Roman" w:hAnsi="Calibri" w:cs="Times New Roman"/>
                      <w:lang w:eastAsia="es-ES"/>
                    </w:rPr>
                    <w:t xml:space="preserve">, en donde se les indica que según el motivo de la notificación serán retirados como afiliados del régimen subsidiado porque presuntamente reúnen las condiciones para ser afiliados cotizantes al régimen </w:t>
                  </w:r>
                  <w:r w:rsidRPr="00263122">
                    <w:rPr>
                      <w:rFonts w:ascii="Calibri" w:eastAsia="Times New Roman" w:hAnsi="Calibri" w:cs="Times New Roman"/>
                      <w:lang w:eastAsia="es-ES"/>
                    </w:rPr>
                    <w:lastRenderedPageBreak/>
                    <w:t>contributivo o tiene múltiple afiliación, para lo cual cuenta con un tiempo máximo de 3 días hábiles y se deben entregar al abogado quien cuenta con un plazo máximo de 5 días para realizar dichos actos administrativos.</w:t>
                  </w:r>
                  <w:r w:rsidRPr="00263122">
                    <w:rPr>
                      <w:rFonts w:ascii="Calibri" w:eastAsia="Times New Roman" w:hAnsi="Calibri" w:cs="Times New Roman"/>
                      <w:lang w:eastAsia="es-ES"/>
                    </w:rPr>
                    <w:br/>
                    <w:t>Se debe tener en cuenta que las EPS deben recibir el acto administrativo en el mismo día de expedido dicho acto.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Recepción y entrega de documentos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Documentos aportados por los afiliados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recibe la documentación aportada por el afiliado con el fin de contradecir la argumentación del acto administrativo, para lo cual el afiliado tiene un plazo de 5 días hábiles a partir del recibo de la notificación.</w:t>
                  </w:r>
                  <w:r w:rsidRPr="00263122">
                    <w:rPr>
                      <w:rFonts w:ascii="Calibri" w:eastAsia="Times New Roman" w:hAnsi="Calibri" w:cs="Times New Roman"/>
                      <w:lang w:eastAsia="es-ES"/>
                    </w:rPr>
                    <w:br/>
                    <w:t>Dichos documentos se entregan al abogado para su respectivo análisis.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Publicar Edicto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Edicto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Una vez pasados los 7 días hábiles que es el plazo máximo que tiene le empresa de correo para la entrega de las notificaciones, ésta debe suministrar un informe de las notificaciones no efectivas, es </w:t>
                  </w:r>
                  <w:r w:rsidRPr="00263122">
                    <w:rPr>
                      <w:rFonts w:ascii="Calibri" w:eastAsia="Times New Roman" w:hAnsi="Calibri" w:cs="Times New Roman"/>
                      <w:lang w:eastAsia="es-ES"/>
                    </w:rPr>
                    <w:lastRenderedPageBreak/>
                    <w:t>decir, aquellas que no se pudieron entregar debido a que la dirección no existe, la persona ya no vive allí, o el inmueble se encuentra desocupado y con esta información se procede a publicar un edicto por un plazo de 10 días hábiles.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Presentar informe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Informe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Finalizados los tiempos de notificación se debe presentar un informe técnico, el cual debe contener:</w:t>
                  </w:r>
                  <w:r w:rsidRPr="00263122">
                    <w:rPr>
                      <w:rFonts w:ascii="Calibri" w:eastAsia="Times New Roman" w:hAnsi="Calibri" w:cs="Times New Roman"/>
                      <w:lang w:eastAsia="es-ES"/>
                    </w:rPr>
                    <w:br/>
                    <w:t>- Total de notificaciones</w:t>
                  </w:r>
                  <w:r w:rsidRPr="00263122">
                    <w:rPr>
                      <w:rFonts w:ascii="Calibri" w:eastAsia="Times New Roman" w:hAnsi="Calibri" w:cs="Times New Roman"/>
                      <w:lang w:eastAsia="es-ES"/>
                    </w:rPr>
                    <w:br/>
                    <w:t>- Entregas efectivas y no efectivas</w:t>
                  </w:r>
                  <w:r w:rsidRPr="00263122">
                    <w:rPr>
                      <w:rFonts w:ascii="Calibri" w:eastAsia="Times New Roman" w:hAnsi="Calibri" w:cs="Times New Roman"/>
                      <w:lang w:eastAsia="es-ES"/>
                    </w:rPr>
                    <w:br/>
                    <w:t>- usuarios que presentaron documentos de soporte según la notificación con el fin de interponer recurso de reposición.</w:t>
                  </w:r>
                  <w:r w:rsidRPr="00263122">
                    <w:rPr>
                      <w:rFonts w:ascii="Calibri" w:eastAsia="Times New Roman" w:hAnsi="Calibri" w:cs="Times New Roman"/>
                      <w:lang w:eastAsia="es-ES"/>
                    </w:rPr>
                    <w:br/>
                    <w:t>Tiempo máximo 2 días hábiles.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Resolver recurso de reposición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Andres</w:t>
                  </w:r>
                  <w:proofErr w:type="spellEnd"/>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Mejia</w:t>
                  </w:r>
                  <w:proofErr w:type="spellEnd"/>
                  <w:r w:rsidRPr="00263122">
                    <w:rPr>
                      <w:rFonts w:ascii="Calibri" w:eastAsia="Times New Roman" w:hAnsi="Calibri" w:cs="Times New Roman"/>
                      <w:lang w:eastAsia="es-ES"/>
                    </w:rPr>
                    <w:t xml:space="preserve"> Arias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Acto de administrativo resolutorio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analiza la documentación presentada por el usuario y se resuelve el recurso de reposición, con el fin de establecer que personas continúan o no en el régimen subsidiado y así poder expedir la resolución de retiro.</w:t>
                  </w:r>
                  <w:r w:rsidRPr="00263122">
                    <w:rPr>
                      <w:rFonts w:ascii="Calibri" w:eastAsia="Times New Roman" w:hAnsi="Calibri" w:cs="Times New Roman"/>
                      <w:lang w:eastAsia="es-ES"/>
                    </w:rPr>
                    <w:br/>
                    <w:t>Tiempo máximo 5 días hábiles.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lastRenderedPageBreak/>
                    <w:t>Elaborar resolución de retiro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Andres</w:t>
                  </w:r>
                  <w:proofErr w:type="spellEnd"/>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Mejia</w:t>
                  </w:r>
                  <w:proofErr w:type="spellEnd"/>
                  <w:r w:rsidRPr="00263122">
                    <w:rPr>
                      <w:rFonts w:ascii="Calibri" w:eastAsia="Times New Roman" w:hAnsi="Calibri" w:cs="Times New Roman"/>
                      <w:lang w:eastAsia="es-ES"/>
                    </w:rPr>
                    <w:t xml:space="preserve"> Arias</w:t>
                  </w:r>
                  <w:r w:rsidRPr="00263122">
                    <w:rPr>
                      <w:rFonts w:ascii="Calibri" w:eastAsia="Times New Roman" w:hAnsi="Calibri" w:cs="Times New Roman"/>
                      <w:lang w:eastAsia="es-ES"/>
                    </w:rPr>
                    <w:b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Resolución de retiro.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debe elaborar resolución de retiro y se envía copia a las EPS, la Dirección Territorial de Salud de Caldas, a la Secretaría de Desarrollo Social, a la Secretaría de Planeación con copia al SISBEN.</w:t>
                  </w:r>
                  <w:r w:rsidRPr="00263122">
                    <w:rPr>
                      <w:rFonts w:ascii="Calibri" w:eastAsia="Times New Roman" w:hAnsi="Calibri" w:cs="Times New Roman"/>
                      <w:lang w:eastAsia="es-ES"/>
                    </w:rPr>
                    <w:br/>
                    <w:t>Tiempo máximo 5 días hábiles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Registrar la novedad al SAYP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 </w:t>
                  </w:r>
                  <w:proofErr w:type="spellStart"/>
                  <w:r w:rsidRPr="00263122">
                    <w:rPr>
                      <w:rFonts w:ascii="Calibri" w:eastAsia="Times New Roman" w:hAnsi="Calibri" w:cs="Times New Roman"/>
                      <w:lang w:eastAsia="es-ES"/>
                    </w:rPr>
                    <w:t>Jhon</w:t>
                  </w:r>
                  <w:proofErr w:type="spellEnd"/>
                  <w:r w:rsidRPr="00263122">
                    <w:rPr>
                      <w:rFonts w:ascii="Calibri" w:eastAsia="Times New Roman" w:hAnsi="Calibri" w:cs="Times New Roman"/>
                      <w:lang w:eastAsia="es-ES"/>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Novedad en el SAYP.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Se debe registrar la novedad de retiro al SAYP en los tiempos estipulados, de acuerdo al cronograma establecido por la resolución 1344 de 2012. </w:t>
                  </w:r>
                  <w:r w:rsidRPr="00263122">
                    <w:rPr>
                      <w:rFonts w:ascii="Calibri" w:eastAsia="Times New Roman" w:hAnsi="Calibri" w:cs="Times New Roman"/>
                      <w:lang w:eastAsia="es-ES"/>
                    </w:rPr>
                    <w:br/>
                    <w:t>Se debe realizar la respectiva observación, la cual quedará grabada en el histórico de la base de datos de Aseguramiento y también hará parte de los informes de auditoría de afiliación y reporte de novedades.  </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Reporte de Resolución de retiro y bases de datos a la Unidad de Gestión de Pensiones y Parafiscales - UGPP del Ministerio de Hacienda, al SISBEN de la Secretaría de Planeación y al área financiera de la Secretaria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br/>
                    <w:t>Correos Electrónicos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r w:rsidRPr="00263122">
                    <w:rPr>
                      <w:rFonts w:ascii="Calibri" w:eastAsia="Times New Roman" w:hAnsi="Calibri" w:cs="Times New Roman"/>
                      <w:lang w:eastAsia="es-ES"/>
                    </w:rPr>
                    <w:t xml:space="preserve">Se envía la resolución de retiro y las bases de datos a la UGPP con el fin de que desde allá se inicie el proceso de cobros coactivos. De igual forma se envía notificación al SISBEN para que se revise la suspensión o retiro del usuario de la base de datos y </w:t>
                  </w:r>
                  <w:r w:rsidRPr="00263122">
                    <w:rPr>
                      <w:rFonts w:ascii="Calibri" w:eastAsia="Times New Roman" w:hAnsi="Calibri" w:cs="Times New Roman"/>
                      <w:lang w:eastAsia="es-ES"/>
                    </w:rPr>
                    <w:lastRenderedPageBreak/>
                    <w:t xml:space="preserve">al área financiera de la Secretaria de Salud Pública con el fin de que se realice la notificación al Ministerio de Salud y la Protección Social, consorcio SAYP para que se proceda a la restitución de la UPC-s por </w:t>
                  </w:r>
                  <w:proofErr w:type="spellStart"/>
                  <w:r w:rsidRPr="00263122">
                    <w:rPr>
                      <w:rFonts w:ascii="Calibri" w:eastAsia="Times New Roman" w:hAnsi="Calibri" w:cs="Times New Roman"/>
                      <w:lang w:eastAsia="es-ES"/>
                    </w:rPr>
                    <w:t>multiafiliación</w:t>
                  </w:r>
                  <w:proofErr w:type="spellEnd"/>
                  <w:r w:rsidRPr="00263122">
                    <w:rPr>
                      <w:rFonts w:ascii="Calibri" w:eastAsia="Times New Roman" w:hAnsi="Calibri" w:cs="Times New Roman"/>
                      <w:lang w:eastAsia="es-ES"/>
                    </w:rPr>
                    <w:t xml:space="preserve"> según registros que se tengan en dicho Consorcio.  </w:t>
                  </w: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8. CONTENIDO</w:t>
                  </w:r>
                </w:p>
              </w:tc>
            </w:tr>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63122" w:rsidRPr="00263122">
              <w:trPr>
                <w:tblCellSpacing w:w="0" w:type="dxa"/>
                <w:jc w:val="center"/>
              </w:trPr>
              <w:tc>
                <w:tcPr>
                  <w:tcW w:w="0" w:type="auto"/>
                  <w:vAlign w:val="center"/>
                  <w:hideMark/>
                </w:tcPr>
                <w:p w:rsidR="00263122" w:rsidRPr="00263122" w:rsidRDefault="00263122" w:rsidP="00263122">
                  <w:pPr>
                    <w:spacing w:after="0" w:line="240" w:lineRule="auto"/>
                    <w:jc w:val="both"/>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LISTA DE VERSIONES</w:t>
                  </w:r>
                </w:p>
              </w:tc>
            </w:tr>
            <w:tr w:rsidR="00263122" w:rsidRPr="0026312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263122" w:rsidRPr="00263122">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63122" w:rsidRPr="00263122" w:rsidRDefault="00263122" w:rsidP="00263122">
                        <w:pPr>
                          <w:spacing w:after="0" w:line="240" w:lineRule="auto"/>
                          <w:jc w:val="center"/>
                          <w:rPr>
                            <w:rFonts w:ascii="Calibri" w:eastAsia="Times New Roman" w:hAnsi="Calibri" w:cs="Times New Roman"/>
                            <w:b/>
                            <w:bCs/>
                            <w:color w:val="FFFFFF"/>
                            <w:sz w:val="24"/>
                            <w:szCs w:val="24"/>
                            <w:lang w:eastAsia="es-ES"/>
                          </w:rPr>
                        </w:pPr>
                        <w:r w:rsidRPr="00263122">
                          <w:rPr>
                            <w:rFonts w:ascii="Calibri" w:eastAsia="Times New Roman" w:hAnsi="Calibri" w:cs="Times New Roman"/>
                            <w:b/>
                            <w:bCs/>
                            <w:color w:val="FFFFFF"/>
                            <w:sz w:val="24"/>
                            <w:szCs w:val="24"/>
                            <w:lang w:eastAsia="es-ES"/>
                          </w:rPr>
                          <w:t>RAZÓN DE LA ACTUALIZACIÓN</w:t>
                        </w: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r w:rsidR="00263122" w:rsidRPr="00263122" w:rsidTr="00263122">
        <w:trPr>
          <w:trHeight w:val="225"/>
          <w:tblCellSpacing w:w="15" w:type="dxa"/>
          <w:jc w:val="center"/>
        </w:trPr>
        <w:tc>
          <w:tcPr>
            <w:tcW w:w="0" w:type="auto"/>
            <w:vAlign w:val="center"/>
            <w:hideMark/>
          </w:tcPr>
          <w:p w:rsidR="00263122" w:rsidRPr="00263122" w:rsidRDefault="00263122" w:rsidP="00263122">
            <w:pPr>
              <w:spacing w:after="0" w:line="240" w:lineRule="auto"/>
              <w:rPr>
                <w:rFonts w:ascii="Times New Roman" w:eastAsia="Times New Roman" w:hAnsi="Times New Roman" w:cs="Times New Roman"/>
                <w:szCs w:val="24"/>
                <w:lang w:eastAsia="es-ES"/>
              </w:rPr>
            </w:pPr>
          </w:p>
        </w:tc>
      </w:tr>
      <w:tr w:rsidR="00263122" w:rsidRPr="00263122" w:rsidTr="00263122">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263122" w:rsidRPr="00263122">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center"/>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center"/>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63122" w:rsidRPr="00263122" w:rsidRDefault="00263122" w:rsidP="00263122">
                  <w:pPr>
                    <w:spacing w:after="0" w:line="240" w:lineRule="auto"/>
                    <w:jc w:val="center"/>
                    <w:rPr>
                      <w:rFonts w:ascii="Calibri" w:eastAsia="Times New Roman" w:hAnsi="Calibri" w:cs="Times New Roman"/>
                      <w:b/>
                      <w:bCs/>
                      <w:color w:val="000000"/>
                      <w:sz w:val="24"/>
                      <w:szCs w:val="24"/>
                      <w:lang w:eastAsia="es-ES"/>
                    </w:rPr>
                  </w:pPr>
                  <w:r w:rsidRPr="00263122">
                    <w:rPr>
                      <w:rFonts w:ascii="Calibri" w:eastAsia="Times New Roman" w:hAnsi="Calibri" w:cs="Times New Roman"/>
                      <w:b/>
                      <w:bCs/>
                      <w:color w:val="000000"/>
                      <w:sz w:val="24"/>
                      <w:szCs w:val="24"/>
                      <w:lang w:eastAsia="es-ES"/>
                    </w:rPr>
                    <w:t>APROBÓ</w:t>
                  </w:r>
                </w:p>
              </w:tc>
            </w:tr>
            <w:tr w:rsidR="00263122" w:rsidRPr="002631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263122" w:rsidRPr="00263122">
                    <w:trPr>
                      <w:tblCellSpacing w:w="15" w:type="dxa"/>
                    </w:trPr>
                    <w:tc>
                      <w:tcPr>
                        <w:tcW w:w="12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Nombre:</w:t>
                        </w:r>
                      </w:p>
                    </w:tc>
                    <w:tc>
                      <w:tcPr>
                        <w:tcW w:w="37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 xml:space="preserve">Johanna </w:t>
                        </w:r>
                        <w:proofErr w:type="spellStart"/>
                        <w:r w:rsidRPr="00263122">
                          <w:rPr>
                            <w:rFonts w:ascii="Calibri" w:eastAsia="Times New Roman" w:hAnsi="Calibri" w:cs="Times New Roman"/>
                            <w:color w:val="000000"/>
                            <w:lang w:eastAsia="es-ES"/>
                          </w:rPr>
                          <w:t>Arbelaez</w:t>
                        </w:r>
                        <w:proofErr w:type="spellEnd"/>
                        <w:r w:rsidRPr="00263122">
                          <w:rPr>
                            <w:rFonts w:ascii="Calibri" w:eastAsia="Times New Roman" w:hAnsi="Calibri" w:cs="Times New Roman"/>
                            <w:color w:val="000000"/>
                            <w:lang w:eastAsia="es-ES"/>
                          </w:rPr>
                          <w:t xml:space="preserve"> Loaiza</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Cargo:</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Profesional Universitario</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Fecha:</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07/Mar/2014</w:t>
                        </w:r>
                      </w:p>
                    </w:tc>
                  </w:tr>
                </w:tbl>
                <w:p w:rsidR="00263122" w:rsidRPr="00263122" w:rsidRDefault="00263122" w:rsidP="00263122">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263122" w:rsidRPr="00263122">
                    <w:trPr>
                      <w:tblCellSpacing w:w="15" w:type="dxa"/>
                    </w:trPr>
                    <w:tc>
                      <w:tcPr>
                        <w:tcW w:w="12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Nombre:</w:t>
                        </w:r>
                      </w:p>
                    </w:tc>
                    <w:tc>
                      <w:tcPr>
                        <w:tcW w:w="37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Blanca Cecilia Largo Hernández</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Cargo:</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Profesional Especializado</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Fecha:</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07/Mar/2014</w:t>
                        </w:r>
                      </w:p>
                    </w:tc>
                  </w:tr>
                </w:tbl>
                <w:p w:rsidR="00263122" w:rsidRPr="00263122" w:rsidRDefault="00263122" w:rsidP="00263122">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263122" w:rsidRPr="00263122">
                    <w:trPr>
                      <w:tblCellSpacing w:w="15" w:type="dxa"/>
                    </w:trPr>
                    <w:tc>
                      <w:tcPr>
                        <w:tcW w:w="12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Nombre:</w:t>
                        </w:r>
                      </w:p>
                    </w:tc>
                    <w:tc>
                      <w:tcPr>
                        <w:tcW w:w="3750" w:type="pct"/>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Leandra Meza Uribe</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Cargo:</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Profesional Universitario</w:t>
                        </w:r>
                      </w:p>
                    </w:tc>
                  </w:tr>
                  <w:tr w:rsidR="00263122" w:rsidRPr="00263122">
                    <w:trPr>
                      <w:tblCellSpacing w:w="15" w:type="dxa"/>
                    </w:trPr>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b/>
                            <w:bCs/>
                            <w:color w:val="000000"/>
                            <w:lang w:eastAsia="es-ES"/>
                          </w:rPr>
                          <w:t>Fecha:</w:t>
                        </w:r>
                      </w:p>
                    </w:tc>
                    <w:tc>
                      <w:tcPr>
                        <w:tcW w:w="0" w:type="auto"/>
                        <w:vAlign w:val="center"/>
                        <w:hideMark/>
                      </w:tcPr>
                      <w:p w:rsidR="00263122" w:rsidRPr="00263122" w:rsidRDefault="00263122" w:rsidP="00263122">
                        <w:pPr>
                          <w:spacing w:after="0" w:line="240" w:lineRule="auto"/>
                          <w:rPr>
                            <w:rFonts w:ascii="Calibri" w:eastAsia="Times New Roman" w:hAnsi="Calibri" w:cs="Times New Roman"/>
                            <w:color w:val="000000"/>
                            <w:lang w:eastAsia="es-ES"/>
                          </w:rPr>
                        </w:pPr>
                        <w:r w:rsidRPr="00263122">
                          <w:rPr>
                            <w:rFonts w:ascii="Calibri" w:eastAsia="Times New Roman" w:hAnsi="Calibri" w:cs="Times New Roman"/>
                            <w:color w:val="000000"/>
                            <w:lang w:eastAsia="es-ES"/>
                          </w:rPr>
                          <w:t>07/Mar/2014</w:t>
                        </w:r>
                      </w:p>
                    </w:tc>
                  </w:tr>
                </w:tbl>
                <w:p w:rsidR="00263122" w:rsidRPr="00263122" w:rsidRDefault="00263122" w:rsidP="00263122">
                  <w:pPr>
                    <w:spacing w:after="0" w:line="240" w:lineRule="auto"/>
                    <w:jc w:val="both"/>
                    <w:rPr>
                      <w:rFonts w:ascii="Calibri" w:eastAsia="Times New Roman" w:hAnsi="Calibri" w:cs="Times New Roman"/>
                      <w:lang w:eastAsia="es-ES"/>
                    </w:rPr>
                  </w:pPr>
                </w:p>
              </w:tc>
            </w:tr>
          </w:tbl>
          <w:p w:rsidR="00263122" w:rsidRPr="00263122" w:rsidRDefault="00263122" w:rsidP="00263122">
            <w:pPr>
              <w:spacing w:after="0" w:line="240" w:lineRule="auto"/>
              <w:rPr>
                <w:rFonts w:ascii="Times New Roman" w:eastAsia="Times New Roman" w:hAnsi="Times New Roman" w:cs="Times New Roman"/>
                <w:sz w:val="24"/>
                <w:szCs w:val="24"/>
                <w:lang w:eastAsia="es-ES"/>
              </w:rPr>
            </w:pPr>
          </w:p>
        </w:tc>
      </w:tr>
    </w:tbl>
    <w:p w:rsidR="007F17DF" w:rsidRDefault="00263122"/>
    <w:sectPr w:rsidR="007F17DF" w:rsidSect="0026312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22"/>
    <w:rsid w:val="001336B7"/>
    <w:rsid w:val="00263122"/>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3122"/>
  </w:style>
  <w:style w:type="character" w:styleId="Hipervnculo">
    <w:name w:val="Hyperlink"/>
    <w:basedOn w:val="Fuentedeprrafopredeter"/>
    <w:uiPriority w:val="99"/>
    <w:semiHidden/>
    <w:unhideWhenUsed/>
    <w:rsid w:val="00263122"/>
    <w:rPr>
      <w:color w:val="0000FF"/>
      <w:u w:val="single"/>
    </w:rPr>
  </w:style>
  <w:style w:type="paragraph" w:styleId="Textodeglobo">
    <w:name w:val="Balloon Text"/>
    <w:basedOn w:val="Normal"/>
    <w:link w:val="TextodegloboCar"/>
    <w:uiPriority w:val="99"/>
    <w:semiHidden/>
    <w:unhideWhenUsed/>
    <w:rsid w:val="00263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3122"/>
  </w:style>
  <w:style w:type="character" w:styleId="Hipervnculo">
    <w:name w:val="Hyperlink"/>
    <w:basedOn w:val="Fuentedeprrafopredeter"/>
    <w:uiPriority w:val="99"/>
    <w:semiHidden/>
    <w:unhideWhenUsed/>
    <w:rsid w:val="00263122"/>
    <w:rPr>
      <w:color w:val="0000FF"/>
      <w:u w:val="single"/>
    </w:rPr>
  </w:style>
  <w:style w:type="paragraph" w:styleId="Textodeglobo">
    <w:name w:val="Balloon Text"/>
    <w:basedOn w:val="Normal"/>
    <w:link w:val="TextodegloboCar"/>
    <w:uiPriority w:val="99"/>
    <w:semiHidden/>
    <w:unhideWhenUsed/>
    <w:rsid w:val="00263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81170">
      <w:bodyDiv w:val="1"/>
      <w:marLeft w:val="0"/>
      <w:marRight w:val="0"/>
      <w:marTop w:val="0"/>
      <w:marBottom w:val="0"/>
      <w:divBdr>
        <w:top w:val="none" w:sz="0" w:space="0" w:color="auto"/>
        <w:left w:val="none" w:sz="0" w:space="0" w:color="auto"/>
        <w:bottom w:val="none" w:sz="0" w:space="0" w:color="auto"/>
        <w:right w:val="none" w:sz="0" w:space="0" w:color="auto"/>
      </w:divBdr>
      <w:divsChild>
        <w:div w:id="609624560">
          <w:marLeft w:val="0"/>
          <w:marRight w:val="0"/>
          <w:marTop w:val="0"/>
          <w:marBottom w:val="0"/>
          <w:divBdr>
            <w:top w:val="none" w:sz="0" w:space="0" w:color="auto"/>
            <w:left w:val="none" w:sz="0" w:space="0" w:color="auto"/>
            <w:bottom w:val="none" w:sz="0" w:space="0" w:color="auto"/>
            <w:right w:val="none" w:sz="0" w:space="0" w:color="auto"/>
          </w:divBdr>
        </w:div>
        <w:div w:id="1469858588">
          <w:marLeft w:val="0"/>
          <w:marRight w:val="0"/>
          <w:marTop w:val="0"/>
          <w:marBottom w:val="0"/>
          <w:divBdr>
            <w:top w:val="none" w:sz="0" w:space="0" w:color="auto"/>
            <w:left w:val="none" w:sz="0" w:space="0" w:color="auto"/>
            <w:bottom w:val="none" w:sz="0" w:space="0" w:color="auto"/>
            <w:right w:val="none" w:sz="0" w:space="0" w:color="auto"/>
          </w:divBdr>
        </w:div>
        <w:div w:id="57548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solucion1344de2012/Resolucion1344de2012.asp?IdArticulo=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2017-02-28T15:22:00Z</dcterms:created>
  <dcterms:modified xsi:type="dcterms:W3CDTF">2017-02-28T15:23:00Z</dcterms:modified>
</cp:coreProperties>
</file>