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DB1061" w:rsidRPr="00DB1061" w:rsidTr="00DB1061">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DB1061" w:rsidRPr="00DB1061">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5675" cy="1408430"/>
                        <wp:effectExtent l="0" t="0" r="0" b="1270"/>
                        <wp:docPr id="25" name="Imagen 25"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675" cy="1408430"/>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PROCEDIMIENTO</w:t>
                  </w:r>
                </w:p>
              </w:tc>
            </w:tr>
            <w:tr w:rsidR="00DB1061" w:rsidRPr="00DB10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AUDITORIA A LA PRESTACIÓN DE SERVICIOS DE SALUD EN EL PRIMER NIVEL DE ATENCIÓN A LA POBLACIÓN PNA</w:t>
                  </w:r>
                </w:p>
              </w:tc>
            </w:tr>
            <w:tr w:rsidR="00DB1061" w:rsidRPr="00DB10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VERSIÓN 01</w:t>
                  </w:r>
                </w:p>
              </w:tc>
            </w:tr>
            <w:tr w:rsidR="00DB1061" w:rsidRPr="00DB106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CÓDIGO GSP-AGC-PR-013</w:t>
                  </w:r>
                </w:p>
              </w:tc>
            </w:tr>
          </w:tbl>
          <w:p w:rsidR="00DB1061" w:rsidRPr="00DB1061" w:rsidRDefault="00DB1061" w:rsidP="00DB1061">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DB1061" w:rsidRPr="00DB1061">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SUBPROCESO ASEGURAMIENTO, ACCESIBILIDAD Y GARANTÍA DEL SERVICIO DE SALUD</w:t>
                  </w:r>
                </w:p>
              </w:tc>
              <w:tc>
                <w:tcPr>
                  <w:tcW w:w="25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right"/>
                    <w:rPr>
                      <w:rFonts w:ascii="Calibri" w:eastAsia="Times New Roman" w:hAnsi="Calibri" w:cs="Times New Roman"/>
                      <w:b/>
                      <w:bCs/>
                      <w:caps/>
                      <w:color w:val="000000"/>
                      <w:sz w:val="24"/>
                      <w:szCs w:val="24"/>
                      <w:lang w:eastAsia="es-ES"/>
                    </w:rPr>
                  </w:pPr>
                  <w:r w:rsidRPr="00DB1061">
                    <w:rPr>
                      <w:rFonts w:ascii="Calibri" w:eastAsia="Times New Roman" w:hAnsi="Calibri" w:cs="Times New Roman"/>
                      <w:b/>
                      <w:bCs/>
                      <w:caps/>
                      <w:color w:val="000000"/>
                      <w:sz w:val="24"/>
                      <w:szCs w:val="24"/>
                      <w:lang w:eastAsia="es-ES"/>
                    </w:rPr>
                    <w:t>ESTADO VIGENTE</w:t>
                  </w: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1. OBJETIVO</w:t>
                  </w:r>
                </w:p>
              </w:tc>
            </w:tr>
            <w:tr w:rsidR="00DB1061" w:rsidRPr="00DB10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24" name="Imagen 2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23" name="Imagen 2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22" name="Imagen 2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Realizar el seguimiento y control a la prestación de los servicios de salud en el primer nivel de atención, programas de promoción de la salud y prevención de la enfermedad, para la población pobre no afiliada del Municipio de Manizales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2. ALCANCE</w:t>
                  </w:r>
                </w:p>
              </w:tc>
            </w:tr>
            <w:tr w:rsidR="00DB1061" w:rsidRPr="00DB10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21" name="Imagen 2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20" name="Imagen 2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9" name="Imagen 1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Inicia con el seguimiento a la prestación de servicios de salud a la población pobre y vulnerable no afiliada al sistema de salud, atendida en las Empresas Sociales del Estado Municipales en el primer nivel de complejidad según competencia del Municipio y culmina con la presentación de informes e intervención de situaciones identificadas y elaboración de planes de mejoramiento por parte de las ESE en caso de ser necesario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3. RESPONSABLE</w:t>
                  </w:r>
                </w:p>
              </w:tc>
            </w:tr>
            <w:tr w:rsidR="00DB1061" w:rsidRPr="00DB10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DB1061" w:rsidRPr="00DB1061">
                    <w:trPr>
                      <w:tblCellSpacing w:w="15" w:type="dxa"/>
                    </w:trPr>
                    <w:tc>
                      <w:tcPr>
                        <w:tcW w:w="15" w:type="dxa"/>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p>
                    </w:tc>
                    <w:tc>
                      <w:tcPr>
                        <w:tcW w:w="5000" w:type="pct"/>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Natalia Restrepo Herrera, Jorge Alberto </w:t>
                        </w:r>
                        <w:proofErr w:type="spellStart"/>
                        <w:r w:rsidRPr="00DB1061">
                          <w:rPr>
                            <w:rFonts w:ascii="Calibri" w:eastAsia="Times New Roman" w:hAnsi="Calibri" w:cs="Times New Roman"/>
                            <w:lang w:eastAsia="es-ES"/>
                          </w:rPr>
                          <w:t>Beltran</w:t>
                        </w:r>
                        <w:proofErr w:type="spellEnd"/>
                        <w:r w:rsidRPr="00DB1061">
                          <w:rPr>
                            <w:rFonts w:ascii="Calibri" w:eastAsia="Times New Roman" w:hAnsi="Calibri" w:cs="Times New Roman"/>
                            <w:lang w:eastAsia="es-ES"/>
                          </w:rPr>
                          <w:t xml:space="preserve"> </w:t>
                        </w:r>
                        <w:proofErr w:type="spellStart"/>
                        <w:r w:rsidRPr="00DB1061">
                          <w:rPr>
                            <w:rFonts w:ascii="Calibri" w:eastAsia="Times New Roman" w:hAnsi="Calibri" w:cs="Times New Roman"/>
                            <w:lang w:eastAsia="es-ES"/>
                          </w:rPr>
                          <w:t>Perez</w:t>
                        </w:r>
                        <w:proofErr w:type="spellEnd"/>
                      </w:p>
                    </w:tc>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4. CONDICIONES GENERALES</w:t>
                  </w:r>
                </w:p>
              </w:tc>
            </w:tr>
            <w:tr w:rsidR="00DB1061" w:rsidRPr="00DB10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lastRenderedPageBreak/>
                          <w:drawing>
                            <wp:inline distT="0" distB="0" distL="0" distR="0">
                              <wp:extent cx="8255" cy="8255"/>
                              <wp:effectExtent l="0" t="0" r="0" b="0"/>
                              <wp:docPr id="18" name="Imagen 1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17" name="Imagen 1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6" name="Imagen 1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Asignación de recursos desde el nivel nacional o municipal para garantizar la prestación del servicio de salud en el primer nivel de atención según directrices dadas por el Ministerio de Salud y Protección Social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5. DEFINICIONES</w:t>
                  </w:r>
                </w:p>
              </w:tc>
            </w:tr>
            <w:tr w:rsidR="00DB1061" w:rsidRPr="00DB1061">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5" name="Imagen 1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14" name="Imagen 1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3" name="Imagen 1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b/>
                            <w:bCs/>
                            <w:color w:val="000000"/>
                            <w:sz w:val="24"/>
                            <w:szCs w:val="24"/>
                            <w:lang w:eastAsia="es-ES"/>
                          </w:rPr>
                          <w:t>5.1. Población Pobre No Afiliada:</w:t>
                        </w:r>
                        <w:r w:rsidRPr="00DB1061">
                          <w:rPr>
                            <w:rFonts w:ascii="Calibri" w:eastAsia="Times New Roman" w:hAnsi="Calibri" w:cs="Times New Roman"/>
                            <w:lang w:eastAsia="es-ES"/>
                          </w:rPr>
                          <w:t> población pobre y vulnerable no afiliada al Sistema General de Seguridad Social en Salud.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2" name="Imagen 1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11" name="Imagen 1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0" name="Imagen 10"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b/>
                            <w:bCs/>
                            <w:color w:val="000000"/>
                            <w:sz w:val="24"/>
                            <w:szCs w:val="24"/>
                            <w:lang w:eastAsia="es-ES"/>
                          </w:rPr>
                          <w:t>5.2. Prestación de servicios de salud en el primer nivel de complejidad:</w:t>
                        </w:r>
                        <w:r w:rsidRPr="00DB1061">
                          <w:rPr>
                            <w:rFonts w:ascii="Calibri" w:eastAsia="Times New Roman" w:hAnsi="Calibri" w:cs="Times New Roman"/>
                            <w:lang w:eastAsia="es-ES"/>
                          </w:rPr>
                          <w:t> son aquellos servicios brindados por Médico General y/o personal auxiliar, y otros profesionales de la salud, así como de apoyo diagnóstico (laboratorio clínico y rayos X).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b/>
                            <w:bCs/>
                            <w:color w:val="000000"/>
                            <w:sz w:val="24"/>
                            <w:szCs w:val="24"/>
                            <w:lang w:eastAsia="es-ES"/>
                          </w:rPr>
                          <w:t>5.3. CALIDAD EN SALUD:</w:t>
                        </w:r>
                        <w:r w:rsidRPr="00DB1061">
                          <w:rPr>
                            <w:rFonts w:ascii="Calibri" w:eastAsia="Times New Roman" w:hAnsi="Calibri" w:cs="Times New Roman"/>
                            <w:lang w:eastAsia="es-ES"/>
                          </w:rPr>
                          <w:t> La provisión de las tecnologías en salud a los afiliados al SGSSS se debe realizar cumpliendo los estándares de caridad de conformidad con la normatividad vigente, relativa al Sistema Obligatorio de Garantía de Calidad de la Atención de Salud y demás normas relacionadas. La provisión de estas tecnologías en salud se debe prestar en servicios habilitados por la autoridad competente, cumpliendo con los estándares de accesibilidad, oportunidad, seguridad, pertinencia, integralidad, calidad técnica, gerencia del riesgo, satisfacción del usuario, establecidos por el Ministerio de Salud y Protección Social y la Superintendencia Nacional de Salud.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b/>
                            <w:bCs/>
                            <w:color w:val="000000"/>
                            <w:sz w:val="24"/>
                            <w:szCs w:val="24"/>
                            <w:lang w:eastAsia="es-ES"/>
                          </w:rPr>
                          <w:t>5.4. Dirección Territorial de Salud de Caldas (DTSC):</w:t>
                        </w:r>
                        <w:r w:rsidRPr="00DB1061">
                          <w:rPr>
                            <w:rFonts w:ascii="Calibri" w:eastAsia="Times New Roman" w:hAnsi="Calibri" w:cs="Times New Roman"/>
                            <w:lang w:eastAsia="es-ES"/>
                          </w:rPr>
                          <w:t> Ente Territorial responsable de la distribución de los aportes patronales a las ESES Municipales, según información que envía al Ministerio de Salud y Protección Social y Ministerio de Hacienda y Crédito Público.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vanish/>
                      <w:lang w:eastAsia="es-ES"/>
                    </w:rPr>
                  </w:pPr>
                </w:p>
                <w:tbl>
                  <w:tblPr>
                    <w:tblW w:w="4950" w:type="pct"/>
                    <w:tblCellSpacing w:w="0" w:type="dxa"/>
                    <w:tblCellMar>
                      <w:left w:w="0" w:type="dxa"/>
                      <w:right w:w="0" w:type="dxa"/>
                    </w:tblCellMar>
                    <w:tblLook w:val="04A0" w:firstRow="1" w:lastRow="0" w:firstColumn="1" w:lastColumn="0" w:noHBand="0" w:noVBand="1"/>
                  </w:tblPr>
                  <w:tblGrid>
                    <w:gridCol w:w="75"/>
                    <w:gridCol w:w="30"/>
                    <w:gridCol w:w="75"/>
                    <w:gridCol w:w="12289"/>
                  </w:tblGrid>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r w:rsidR="00DB1061" w:rsidRPr="00DB1061">
                    <w:trPr>
                      <w:tblCellSpacing w:w="0" w:type="dxa"/>
                    </w:trPr>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30"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6510" cy="1651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c>
                      <w:tcPr>
                        <w:tcW w:w="75" w:type="dxa"/>
                        <w:hideMark/>
                      </w:tcPr>
                      <w:p w:rsidR="00DB1061" w:rsidRPr="00DB1061" w:rsidRDefault="00DB1061" w:rsidP="00DB1061">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8255" cy="825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0" w:type="auto"/>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b/>
                            <w:bCs/>
                            <w:color w:val="000000"/>
                            <w:sz w:val="24"/>
                            <w:szCs w:val="24"/>
                            <w:lang w:eastAsia="es-ES"/>
                          </w:rPr>
                          <w:t>5.5. Empresas Sociales del Estado (ESE):</w:t>
                        </w:r>
                        <w:r w:rsidRPr="00DB1061">
                          <w:rPr>
                            <w:rFonts w:ascii="Calibri" w:eastAsia="Times New Roman" w:hAnsi="Calibri" w:cs="Times New Roman"/>
                            <w:lang w:eastAsia="es-ES"/>
                          </w:rPr>
                          <w:t xml:space="preserve"> Es una empresa que se encarga de la prestación de servicios de salud en forma directa, que se constituye en una categoría especial de entidad pública descentralizada, con personería jurídica, patrimonio propio y autonomía administrativa. Para el Municipio de Manizales son: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xml:space="preserve"> y Hospital General San Isidro.  </w:t>
                        </w:r>
                      </w:p>
                    </w:tc>
                  </w:tr>
                  <w:tr w:rsidR="00DB1061" w:rsidRPr="00DB1061">
                    <w:trPr>
                      <w:trHeight w:val="75"/>
                      <w:tblCellSpacing w:w="0" w:type="dxa"/>
                    </w:trPr>
                    <w:tc>
                      <w:tcPr>
                        <w:tcW w:w="0" w:type="auto"/>
                        <w:gridSpan w:val="4"/>
                        <w:vAlign w:val="center"/>
                        <w:hideMark/>
                      </w:tcPr>
                      <w:p w:rsidR="00DB1061" w:rsidRPr="00DB1061" w:rsidRDefault="00DB1061" w:rsidP="00DB1061">
                        <w:pPr>
                          <w:spacing w:after="0" w:line="240" w:lineRule="auto"/>
                          <w:jc w:val="both"/>
                          <w:rPr>
                            <w:rFonts w:ascii="Calibri" w:eastAsia="Times New Roman" w:hAnsi="Calibri" w:cs="Times New Roman"/>
                            <w:sz w:val="8"/>
                            <w:lang w:eastAsia="es-ES"/>
                          </w:rPr>
                        </w:pP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6. DOCUMENTACIÓN EXTERNA RELACIONADA</w:t>
                  </w:r>
                </w:p>
              </w:tc>
            </w:tr>
            <w:tr w:rsidR="00DB1061" w:rsidRPr="00DB1061">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DB1061" w:rsidRPr="00DB1061">
                    <w:trPr>
                      <w:tblCellSpacing w:w="15" w:type="dxa"/>
                    </w:trPr>
                    <w:tc>
                      <w:tcPr>
                        <w:tcW w:w="15" w:type="dxa"/>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p>
                    </w:tc>
                    <w:tc>
                      <w:tcPr>
                        <w:tcW w:w="5000" w:type="pct"/>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hyperlink r:id="rId7" w:history="1">
                          <w:r w:rsidRPr="00DB1061">
                            <w:rPr>
                              <w:rFonts w:ascii="Calibri" w:eastAsia="Times New Roman" w:hAnsi="Calibri" w:cs="Times New Roman"/>
                              <w:color w:val="0000FF"/>
                              <w:u w:val="single"/>
                              <w:lang w:eastAsia="es-ES"/>
                            </w:rPr>
                            <w:t>- Ley 10 de 1990</w:t>
                          </w:r>
                        </w:hyperlink>
                        <w:r w:rsidRPr="00DB1061">
                          <w:rPr>
                            <w:rFonts w:ascii="Calibri" w:eastAsia="Times New Roman" w:hAnsi="Calibri" w:cs="Times New Roman"/>
                            <w:lang w:eastAsia="es-ES"/>
                          </w:rPr>
                          <w:br/>
                        </w:r>
                        <w:hyperlink r:id="rId8" w:history="1">
                          <w:r w:rsidRPr="00DB1061">
                            <w:rPr>
                              <w:rFonts w:ascii="Calibri" w:eastAsia="Times New Roman" w:hAnsi="Calibri" w:cs="Times New Roman"/>
                              <w:color w:val="0000FF"/>
                              <w:u w:val="single"/>
                              <w:lang w:eastAsia="es-ES"/>
                            </w:rPr>
                            <w:t>- Ley 100 de 1993</w:t>
                          </w:r>
                        </w:hyperlink>
                        <w:r w:rsidRPr="00DB1061">
                          <w:rPr>
                            <w:rFonts w:ascii="Calibri" w:eastAsia="Times New Roman" w:hAnsi="Calibri" w:cs="Times New Roman"/>
                            <w:lang w:eastAsia="es-ES"/>
                          </w:rPr>
                          <w:br/>
                        </w:r>
                        <w:hyperlink r:id="rId9" w:history="1">
                          <w:r w:rsidRPr="00DB1061">
                            <w:rPr>
                              <w:rFonts w:ascii="Calibri" w:eastAsia="Times New Roman" w:hAnsi="Calibri" w:cs="Times New Roman"/>
                              <w:color w:val="0000FF"/>
                              <w:u w:val="single"/>
                              <w:lang w:eastAsia="es-ES"/>
                            </w:rPr>
                            <w:t>- Ley 1438 de 2011</w:t>
                          </w:r>
                        </w:hyperlink>
                        <w:r w:rsidRPr="00DB1061">
                          <w:rPr>
                            <w:rFonts w:ascii="Calibri" w:eastAsia="Times New Roman" w:hAnsi="Calibri" w:cs="Times New Roman"/>
                            <w:lang w:eastAsia="es-ES"/>
                          </w:rPr>
                          <w:br/>
                        </w:r>
                        <w:hyperlink r:id="rId10" w:history="1">
                          <w:r w:rsidRPr="00DB1061">
                            <w:rPr>
                              <w:rFonts w:ascii="Calibri" w:eastAsia="Times New Roman" w:hAnsi="Calibri" w:cs="Times New Roman"/>
                              <w:color w:val="0000FF"/>
                              <w:u w:val="single"/>
                              <w:lang w:eastAsia="es-ES"/>
                            </w:rPr>
                            <w:t>- Ley 715 de 2001</w:t>
                          </w:r>
                        </w:hyperlink>
                        <w:r w:rsidRPr="00DB1061">
                          <w:rPr>
                            <w:rFonts w:ascii="Calibri" w:eastAsia="Times New Roman" w:hAnsi="Calibri" w:cs="Times New Roman"/>
                            <w:lang w:eastAsia="es-ES"/>
                          </w:rPr>
                          <w:br/>
                        </w:r>
                        <w:hyperlink r:id="rId11" w:history="1">
                          <w:r w:rsidRPr="00DB1061">
                            <w:rPr>
                              <w:rFonts w:ascii="Calibri" w:eastAsia="Times New Roman" w:hAnsi="Calibri" w:cs="Times New Roman"/>
                              <w:color w:val="0000FF"/>
                              <w:u w:val="single"/>
                              <w:lang w:eastAsia="es-ES"/>
                            </w:rPr>
                            <w:t xml:space="preserve">- </w:t>
                          </w:r>
                          <w:proofErr w:type="spellStart"/>
                          <w:r w:rsidRPr="00DB1061">
                            <w:rPr>
                              <w:rFonts w:ascii="Calibri" w:eastAsia="Times New Roman" w:hAnsi="Calibri" w:cs="Times New Roman"/>
                              <w:color w:val="0000FF"/>
                              <w:u w:val="single"/>
                              <w:lang w:eastAsia="es-ES"/>
                            </w:rPr>
                            <w:t>Resolucíon</w:t>
                          </w:r>
                          <w:proofErr w:type="spellEnd"/>
                          <w:r w:rsidRPr="00DB1061">
                            <w:rPr>
                              <w:rFonts w:ascii="Calibri" w:eastAsia="Times New Roman" w:hAnsi="Calibri" w:cs="Times New Roman"/>
                              <w:color w:val="0000FF"/>
                              <w:u w:val="single"/>
                              <w:lang w:eastAsia="es-ES"/>
                            </w:rPr>
                            <w:t xml:space="preserve"> 4505 de 2012</w:t>
                          </w:r>
                        </w:hyperlink>
                        <w:r w:rsidRPr="00DB1061">
                          <w:rPr>
                            <w:rFonts w:ascii="Calibri" w:eastAsia="Times New Roman" w:hAnsi="Calibri" w:cs="Times New Roman"/>
                            <w:lang w:eastAsia="es-ES"/>
                          </w:rPr>
                          <w:br/>
                        </w:r>
                        <w:hyperlink r:id="rId12" w:history="1">
                          <w:r w:rsidRPr="00DB1061">
                            <w:rPr>
                              <w:rFonts w:ascii="Calibri" w:eastAsia="Times New Roman" w:hAnsi="Calibri" w:cs="Times New Roman"/>
                              <w:color w:val="0000FF"/>
                              <w:u w:val="single"/>
                              <w:lang w:eastAsia="es-ES"/>
                            </w:rPr>
                            <w:t>- Resolución 412 de 2000</w:t>
                          </w:r>
                        </w:hyperlink>
                        <w:r w:rsidRPr="00DB1061">
                          <w:rPr>
                            <w:rFonts w:ascii="Calibri" w:eastAsia="Times New Roman" w:hAnsi="Calibri" w:cs="Times New Roman"/>
                            <w:lang w:eastAsia="es-ES"/>
                          </w:rPr>
                          <w:br/>
                        </w:r>
                        <w:hyperlink r:id="rId13" w:history="1">
                          <w:r w:rsidRPr="00DB1061">
                            <w:rPr>
                              <w:rFonts w:ascii="Calibri" w:eastAsia="Times New Roman" w:hAnsi="Calibri" w:cs="Times New Roman"/>
                              <w:color w:val="0000FF"/>
                              <w:u w:val="single"/>
                              <w:lang w:eastAsia="es-ES"/>
                            </w:rPr>
                            <w:t>- Acuerdo 117 de 1998</w:t>
                          </w:r>
                        </w:hyperlink>
                        <w:r w:rsidRPr="00DB1061">
                          <w:rPr>
                            <w:rFonts w:ascii="Calibri" w:eastAsia="Times New Roman" w:hAnsi="Calibri" w:cs="Times New Roman"/>
                            <w:lang w:eastAsia="es-ES"/>
                          </w:rPr>
                          <w:br/>
                        </w:r>
                        <w:r w:rsidRPr="00DB1061">
                          <w:rPr>
                            <w:rFonts w:ascii="Calibri" w:eastAsia="Times New Roman" w:hAnsi="Calibri" w:cs="Times New Roman"/>
                            <w:lang w:eastAsia="es-ES"/>
                          </w:rPr>
                          <w:lastRenderedPageBreak/>
                          <w:t>Documento CONPES: Mediante el cual se hace la distribución para la contratación de la prestación de servicios para la población pobre no asegurada y a las actividades no cubiertas con subsidios a la demanda</w:t>
                        </w: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7. DESARROLLO</w:t>
                  </w: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DB1061" w:rsidRPr="00DB1061">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CÓMO LO HACE</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Tramitar los actos administrativos desde la Secretaría de Salud para suscribir los convenios de prestación de servicios de salud con la ESE Municipal del primer nivel de atención, según el monto estimado por el CONPES para cada vigencia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 Jorge Alberto </w:t>
                  </w:r>
                  <w:proofErr w:type="spellStart"/>
                  <w:r w:rsidRPr="00DB1061">
                    <w:rPr>
                      <w:rFonts w:ascii="Calibri" w:eastAsia="Times New Roman" w:hAnsi="Calibri" w:cs="Times New Roman"/>
                      <w:lang w:eastAsia="es-ES"/>
                    </w:rPr>
                    <w:t>Beltran</w:t>
                  </w:r>
                  <w:proofErr w:type="spellEnd"/>
                  <w:r w:rsidRPr="00DB1061">
                    <w:rPr>
                      <w:rFonts w:ascii="Calibri" w:eastAsia="Times New Roman" w:hAnsi="Calibri" w:cs="Times New Roman"/>
                      <w:lang w:eastAsia="es-ES"/>
                    </w:rPr>
                    <w:t xml:space="preserve"> </w:t>
                  </w:r>
                  <w:proofErr w:type="spellStart"/>
                  <w:r w:rsidRPr="00DB1061">
                    <w:rPr>
                      <w:rFonts w:ascii="Calibri" w:eastAsia="Times New Roman" w:hAnsi="Calibri" w:cs="Times New Roman"/>
                      <w:lang w:eastAsia="es-ES"/>
                    </w:rPr>
                    <w:t>Perez</w:t>
                  </w:r>
                  <w:proofErr w:type="spellEnd"/>
                  <w:r w:rsidRPr="00DB1061">
                    <w:rPr>
                      <w:rFonts w:ascii="Calibri" w:eastAsia="Times New Roman" w:hAnsi="Calibri" w:cs="Times New Roman"/>
                      <w:lang w:eastAsia="es-ES"/>
                    </w:rPr>
                    <w:br/>
                    <w:t xml:space="preserve">- </w:t>
                  </w:r>
                  <w:proofErr w:type="spellStart"/>
                  <w:r w:rsidRPr="00DB1061">
                    <w:rPr>
                      <w:rFonts w:ascii="Calibri" w:eastAsia="Times New Roman" w:hAnsi="Calibri" w:cs="Times New Roman"/>
                      <w:lang w:eastAsia="es-ES"/>
                    </w:rPr>
                    <w:t>Andres</w:t>
                  </w:r>
                  <w:proofErr w:type="spellEnd"/>
                  <w:r w:rsidRPr="00DB1061">
                    <w:rPr>
                      <w:rFonts w:ascii="Calibri" w:eastAsia="Times New Roman" w:hAnsi="Calibri" w:cs="Times New Roman"/>
                      <w:lang w:eastAsia="es-ES"/>
                    </w:rPr>
                    <w:t xml:space="preserve"> </w:t>
                  </w:r>
                  <w:proofErr w:type="spellStart"/>
                  <w:r w:rsidRPr="00DB1061">
                    <w:rPr>
                      <w:rFonts w:ascii="Calibri" w:eastAsia="Times New Roman" w:hAnsi="Calibri" w:cs="Times New Roman"/>
                      <w:lang w:eastAsia="es-ES"/>
                    </w:rPr>
                    <w:t>Mejia</w:t>
                  </w:r>
                  <w:proofErr w:type="spellEnd"/>
                  <w:r w:rsidRPr="00DB1061">
                    <w:rPr>
                      <w:rFonts w:ascii="Calibri" w:eastAsia="Times New Roman" w:hAnsi="Calibri" w:cs="Times New Roman"/>
                      <w:lang w:eastAsia="es-ES"/>
                    </w:rPr>
                    <w:t xml:space="preserve"> Arias</w:t>
                  </w:r>
                  <w:r w:rsidRPr="00DB1061">
                    <w:rPr>
                      <w:rFonts w:ascii="Calibri" w:eastAsia="Times New Roman" w:hAnsi="Calibri" w:cs="Times New Roman"/>
                      <w:lang w:eastAsia="es-ES"/>
                    </w:rPr>
                    <w:br/>
                    <w:t>- Natalia Restrepo Herrera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br/>
                    <w:t>Convenio suscrito con la Secretaría de Salud y las ESES Municipales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El profesional Universitario del área financiera Tramita ante la DTSC y/o el MSP, los soportes presupuestales y financieros que definen el monto del convenio a suscribir. </w:t>
                  </w:r>
                  <w:proofErr w:type="gramStart"/>
                  <w:r w:rsidRPr="00DB1061">
                    <w:rPr>
                      <w:rFonts w:ascii="Calibri" w:eastAsia="Times New Roman" w:hAnsi="Calibri" w:cs="Times New Roman"/>
                      <w:lang w:eastAsia="es-ES"/>
                    </w:rPr>
                    <w:t>posteriormente</w:t>
                  </w:r>
                  <w:proofErr w:type="gramEnd"/>
                  <w:r w:rsidRPr="00DB1061">
                    <w:rPr>
                      <w:rFonts w:ascii="Calibri" w:eastAsia="Times New Roman" w:hAnsi="Calibri" w:cs="Times New Roman"/>
                      <w:lang w:eastAsia="es-ES"/>
                    </w:rPr>
                    <w:t xml:space="preserve"> se realiza el trámite ante las ESES Municipales con los documentos precontractuales y se realizan los estudios previos y el análisis del sector. los documentos anteriores son entregados al área jurídica para elaboración del convenio</w:t>
                  </w:r>
                  <w:r w:rsidRPr="00DB1061">
                    <w:rPr>
                      <w:rFonts w:ascii="Calibri" w:eastAsia="Times New Roman" w:hAnsi="Calibri" w:cs="Times New Roman"/>
                      <w:lang w:eastAsia="es-ES"/>
                    </w:rPr>
                    <w:br/>
                    <w:t> </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Realizar seguimiento mensual a la prestación de servicios de salud bajo los criterios de oportunidad para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xml:space="preserve"> y para Hospital General San Isidro una vez por semestre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Natalia Restrepo Herrera</w:t>
                  </w:r>
                  <w:r w:rsidRPr="00DB1061">
                    <w:rPr>
                      <w:rFonts w:ascii="Calibri" w:eastAsia="Times New Roman" w:hAnsi="Calibri" w:cs="Times New Roman"/>
                      <w:lang w:eastAsia="es-ES"/>
                    </w:rPr>
                    <w:br/>
                    <w:t>- Claudia Janeth Hoyos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br/>
                    <w:t>Informes trimestrales de auditorías de las visitas realizadas a la ESE Municipal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Realizar visitas de auditoría para la verificación de: Rutas de atención, infraestructura física, recurso humano, horarios de atención, disponibilidad de agendas, oportunidad en la programación de consulta por médico general, enfermería y </w:t>
                  </w:r>
                  <w:r w:rsidRPr="00DB1061">
                    <w:rPr>
                      <w:rFonts w:ascii="Calibri" w:eastAsia="Times New Roman" w:hAnsi="Calibri" w:cs="Times New Roman"/>
                      <w:lang w:eastAsia="es-ES"/>
                    </w:rPr>
                    <w:lastRenderedPageBreak/>
                    <w:t>procedimientos, entre otros. </w:t>
                  </w:r>
                  <w:r w:rsidRPr="00DB1061">
                    <w:rPr>
                      <w:rFonts w:ascii="Calibri" w:eastAsia="Times New Roman" w:hAnsi="Calibri" w:cs="Times New Roman"/>
                      <w:lang w:eastAsia="es-ES"/>
                    </w:rPr>
                    <w:br/>
                    <w:t xml:space="preserve">Se </w:t>
                  </w:r>
                  <w:proofErr w:type="gramStart"/>
                  <w:r w:rsidRPr="00DB1061">
                    <w:rPr>
                      <w:rFonts w:ascii="Calibri" w:eastAsia="Times New Roman" w:hAnsi="Calibri" w:cs="Times New Roman"/>
                      <w:lang w:eastAsia="es-ES"/>
                    </w:rPr>
                    <w:t>continua</w:t>
                  </w:r>
                  <w:proofErr w:type="gramEnd"/>
                  <w:r w:rsidRPr="00DB1061">
                    <w:rPr>
                      <w:rFonts w:ascii="Calibri" w:eastAsia="Times New Roman" w:hAnsi="Calibri" w:cs="Times New Roman"/>
                      <w:lang w:eastAsia="es-ES"/>
                    </w:rPr>
                    <w:t xml:space="preserve"> con la entrega de información del seguimiento realizado a la implementación de la Política de seguridad del paciente.</w:t>
                  </w:r>
                  <w:r w:rsidRPr="00DB1061">
                    <w:rPr>
                      <w:rFonts w:ascii="Calibri" w:eastAsia="Times New Roman" w:hAnsi="Calibri" w:cs="Times New Roman"/>
                      <w:lang w:eastAsia="es-ES"/>
                    </w:rPr>
                    <w:br/>
                    <w:t> </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lastRenderedPageBreak/>
                    <w:t>Verificar la oportunidad en la entrega de medicamentos por parte de ASSBASALUD a la PPNA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Natalia Restrepo Herrera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br/>
                    <w:t>Informes de auditoría de las visitas realizadas a la ESE Municipal incluido en el informe trimestral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En los puntos de dispensación de medicamentos de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se verifica la existencia de medicamentos y el comportamiento del indicador de oportunidad en la entrega de estos </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Realizar reunión bimestral de supervisión de convenio con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Natalia Restrepo Herrera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hyperlink r:id="rId14" w:history="1">
                    <w:r w:rsidRPr="00DB1061">
                      <w:rPr>
                        <w:rFonts w:ascii="Calibri" w:eastAsia="Times New Roman" w:hAnsi="Calibri" w:cs="Times New Roman"/>
                        <w:color w:val="0000FF"/>
                        <w:u w:val="single"/>
                        <w:lang w:eastAsia="es-ES"/>
                      </w:rPr>
                      <w:t>- Acta de Reunión General</w:t>
                    </w:r>
                  </w:hyperlink>
                  <w:r w:rsidRPr="00DB1061">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Se hace seguimiento al desarrollo de las actividades realizadas por ASSBASASUD para la atención de la PPNA, al análisis de hallazgos de visitas de auditoría, al cumplimiento de obligaciones y alcance de indicadores </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Realizar mensual el informe de supervisión y el acta de recibo parcial para la legalización de los recursos por ser sin situación de fondos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Natalia Restrepo Herrera</w:t>
                  </w:r>
                  <w:r w:rsidRPr="00DB1061">
                    <w:rPr>
                      <w:rFonts w:ascii="Calibri" w:eastAsia="Times New Roman" w:hAnsi="Calibri" w:cs="Times New Roman"/>
                      <w:lang w:eastAsia="es-ES"/>
                    </w:rPr>
                    <w:br/>
                    <w:t xml:space="preserve">- Jorge Alberto </w:t>
                  </w:r>
                  <w:proofErr w:type="spellStart"/>
                  <w:r w:rsidRPr="00DB1061">
                    <w:rPr>
                      <w:rFonts w:ascii="Calibri" w:eastAsia="Times New Roman" w:hAnsi="Calibri" w:cs="Times New Roman"/>
                      <w:lang w:eastAsia="es-ES"/>
                    </w:rPr>
                    <w:t>Beltran</w:t>
                  </w:r>
                  <w:proofErr w:type="spellEnd"/>
                  <w:r w:rsidRPr="00DB1061">
                    <w:rPr>
                      <w:rFonts w:ascii="Calibri" w:eastAsia="Times New Roman" w:hAnsi="Calibri" w:cs="Times New Roman"/>
                      <w:lang w:eastAsia="es-ES"/>
                    </w:rPr>
                    <w:t xml:space="preserve"> </w:t>
                  </w:r>
                  <w:proofErr w:type="spellStart"/>
                  <w:r w:rsidRPr="00DB1061">
                    <w:rPr>
                      <w:rFonts w:ascii="Calibri" w:eastAsia="Times New Roman" w:hAnsi="Calibri" w:cs="Times New Roman"/>
                      <w:lang w:eastAsia="es-ES"/>
                    </w:rPr>
                    <w:t>Perez</w:t>
                  </w:r>
                  <w:proofErr w:type="spellEnd"/>
                  <w:r w:rsidRPr="00DB1061">
                    <w:rPr>
                      <w:rFonts w:ascii="Calibri" w:eastAsia="Times New Roman" w:hAnsi="Calibri" w:cs="Times New Roman"/>
                      <w:lang w:eastAsia="es-ES"/>
                    </w:rPr>
                    <w:br/>
                    <w:t>- Claudia Janeth Hoyos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hyperlink r:id="rId15" w:history="1">
                    <w:r w:rsidRPr="00DB1061">
                      <w:rPr>
                        <w:rFonts w:ascii="Calibri" w:eastAsia="Times New Roman" w:hAnsi="Calibri" w:cs="Times New Roman"/>
                        <w:color w:val="0000FF"/>
                        <w:u w:val="single"/>
                        <w:lang w:eastAsia="es-ES"/>
                      </w:rPr>
                      <w:t>- Informe de Supervisión y/o Interventoría para Contratos (Parcial)</w:t>
                    </w:r>
                  </w:hyperlink>
                  <w:r w:rsidRPr="00DB1061">
                    <w:rPr>
                      <w:rFonts w:ascii="Calibri" w:eastAsia="Times New Roman" w:hAnsi="Calibri" w:cs="Times New Roman"/>
                      <w:lang w:eastAsia="es-ES"/>
                    </w:rPr>
                    <w:br/>
                    <w:t>Informe de supervisión subida al SECOP</w:t>
                  </w:r>
                  <w:r w:rsidRPr="00DB1061">
                    <w:rPr>
                      <w:rFonts w:ascii="Calibri" w:eastAsia="Times New Roman" w:hAnsi="Calibri" w:cs="Times New Roman"/>
                      <w:lang w:eastAsia="es-ES"/>
                    </w:rPr>
                    <w:br/>
                    <w:t>Acta de recibo parcial subida al SECOP y enviada a cada ESE</w:t>
                  </w:r>
                  <w:r w:rsidRPr="00DB1061">
                    <w:rPr>
                      <w:rFonts w:ascii="Calibri" w:eastAsia="Times New Roman" w:hAnsi="Calibri" w:cs="Times New Roman"/>
                      <w:lang w:eastAsia="es-ES"/>
                    </w:rPr>
                    <w:br/>
                  </w:r>
                  <w:r w:rsidRPr="00DB1061">
                    <w:rPr>
                      <w:rFonts w:ascii="Calibri" w:eastAsia="Times New Roman" w:hAnsi="Calibri" w:cs="Times New Roman"/>
                      <w:lang w:eastAsia="es-E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lastRenderedPageBreak/>
                    <w:t xml:space="preserve">Se realiza según revisión realizada por competencia de informes enviados por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xml:space="preserve"> y Hospital General el certificado de pago de aportes a la seguridad social y parafiscales, certificado de disponibilidad del </w:t>
                  </w:r>
                  <w:r w:rsidRPr="00DB1061">
                    <w:rPr>
                      <w:rFonts w:ascii="Calibri" w:eastAsia="Times New Roman" w:hAnsi="Calibri" w:cs="Times New Roman"/>
                      <w:lang w:eastAsia="es-ES"/>
                    </w:rPr>
                    <w:lastRenderedPageBreak/>
                    <w:t xml:space="preserve">recurso humano y el informe de acuerdo al Decreto 2193 del 2004. Seguido a ella la Política de Seguridad del paciente (eventos adversos revisados) y la prestación de servicios de salud (RIPS, indicador de entrega de medicamentos, actividades de demanda inducida, remisión usuarios a SISBEN y para afiliación, </w:t>
                  </w:r>
                  <w:proofErr w:type="spellStart"/>
                  <w:r w:rsidRPr="00DB1061">
                    <w:rPr>
                      <w:rFonts w:ascii="Calibri" w:eastAsia="Times New Roman" w:hAnsi="Calibri" w:cs="Times New Roman"/>
                      <w:lang w:eastAsia="es-ES"/>
                    </w:rPr>
                    <w:t>hemoclasificación</w:t>
                  </w:r>
                  <w:proofErr w:type="spellEnd"/>
                  <w:r w:rsidRPr="00DB1061">
                    <w:rPr>
                      <w:rFonts w:ascii="Calibri" w:eastAsia="Times New Roman" w:hAnsi="Calibri" w:cs="Times New Roman"/>
                      <w:lang w:eastAsia="es-ES"/>
                    </w:rPr>
                    <w:t xml:space="preserve"> realizada, oportunidad en asignación de citas, tutelas del período y atención por medicina legal.</w:t>
                  </w:r>
                  <w:r w:rsidRPr="00DB1061">
                    <w:rPr>
                      <w:rFonts w:ascii="Calibri" w:eastAsia="Times New Roman" w:hAnsi="Calibri" w:cs="Times New Roman"/>
                      <w:lang w:eastAsia="es-ES"/>
                    </w:rPr>
                    <w:br/>
                    <w:t> </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lastRenderedPageBreak/>
                    <w:t>Realizar análisis de reporte trimestral de informe según Resolución 4505/12, realizadas a la Población Pobre No Afiliada del Municipio de Manizales, según Resolución 4505/12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Natalia Restrepo Herrera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br/>
                    <w:t>Informe consolidado que hace parte integral del informe de auditoría </w:t>
                  </w:r>
                </w:p>
              </w:tc>
              <w:tc>
                <w:tcPr>
                  <w:tcW w:w="0" w:type="auto"/>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r w:rsidRPr="00DB1061">
                    <w:rPr>
                      <w:rFonts w:ascii="Calibri" w:eastAsia="Times New Roman" w:hAnsi="Calibri" w:cs="Times New Roman"/>
                      <w:lang w:eastAsia="es-ES"/>
                    </w:rPr>
                    <w:t xml:space="preserve">Este corresponde a las actividades de los programas de Promoción de la Salud y Prevención de la Enfermedad y enfermedades de notificación obligatoria. </w:t>
                  </w:r>
                  <w:proofErr w:type="spellStart"/>
                  <w:r w:rsidRPr="00DB1061">
                    <w:rPr>
                      <w:rFonts w:ascii="Calibri" w:eastAsia="Times New Roman" w:hAnsi="Calibri" w:cs="Times New Roman"/>
                      <w:lang w:eastAsia="es-ES"/>
                    </w:rPr>
                    <w:t>Assbasalud</w:t>
                  </w:r>
                  <w:proofErr w:type="spellEnd"/>
                  <w:r w:rsidRPr="00DB1061">
                    <w:rPr>
                      <w:rFonts w:ascii="Calibri" w:eastAsia="Times New Roman" w:hAnsi="Calibri" w:cs="Times New Roman"/>
                      <w:lang w:eastAsia="es-ES"/>
                    </w:rPr>
                    <w:t xml:space="preserve"> remite informe en medio magnético con las actividades realizadas de PPNA. </w:t>
                  </w:r>
                  <w:r w:rsidRPr="00DB1061">
                    <w:rPr>
                      <w:rFonts w:ascii="Calibri" w:eastAsia="Times New Roman" w:hAnsi="Calibri" w:cs="Times New Roman"/>
                      <w:lang w:eastAsia="es-ES"/>
                    </w:rPr>
                    <w:br/>
                  </w:r>
                  <w:r w:rsidRPr="00DB1061">
                    <w:rPr>
                      <w:rFonts w:ascii="Calibri" w:eastAsia="Times New Roman" w:hAnsi="Calibri" w:cs="Times New Roman"/>
                      <w:lang w:eastAsia="es-ES"/>
                    </w:rPr>
                    <w:br/>
                    <w:t xml:space="preserve">Esta información es analizada en cuanto a estructura y calidad del dato. Se valida el dato reportado con lo consignado en la historia </w:t>
                  </w:r>
                  <w:r w:rsidRPr="00DB1061">
                    <w:rPr>
                      <w:rFonts w:ascii="Calibri" w:eastAsia="Times New Roman" w:hAnsi="Calibri" w:cs="Times New Roman"/>
                      <w:lang w:eastAsia="es-ES"/>
                    </w:rPr>
                    <w:lastRenderedPageBreak/>
                    <w:t>clínica del paciente. </w:t>
                  </w: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8. CONTENIDO</w:t>
                  </w:r>
                </w:p>
              </w:tc>
            </w:tr>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DB1061" w:rsidRPr="00DB1061">
              <w:trPr>
                <w:tblCellSpacing w:w="0" w:type="dxa"/>
                <w:jc w:val="center"/>
              </w:trPr>
              <w:tc>
                <w:tcPr>
                  <w:tcW w:w="0" w:type="auto"/>
                  <w:vAlign w:val="center"/>
                  <w:hideMark/>
                </w:tcPr>
                <w:p w:rsidR="00DB1061" w:rsidRPr="00DB1061" w:rsidRDefault="00DB1061" w:rsidP="00DB1061">
                  <w:pPr>
                    <w:spacing w:after="0" w:line="240" w:lineRule="auto"/>
                    <w:jc w:val="both"/>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LISTA DE VERSIONES</w:t>
                  </w:r>
                </w:p>
              </w:tc>
            </w:tr>
            <w:tr w:rsidR="00DB1061" w:rsidRPr="00DB1061">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DB1061" w:rsidRPr="00DB1061">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DB1061" w:rsidRPr="00DB1061" w:rsidRDefault="00DB1061" w:rsidP="00DB1061">
                        <w:pPr>
                          <w:spacing w:after="0" w:line="240" w:lineRule="auto"/>
                          <w:jc w:val="center"/>
                          <w:rPr>
                            <w:rFonts w:ascii="Calibri" w:eastAsia="Times New Roman" w:hAnsi="Calibri" w:cs="Times New Roman"/>
                            <w:b/>
                            <w:bCs/>
                            <w:color w:val="FFFFFF"/>
                            <w:sz w:val="24"/>
                            <w:szCs w:val="24"/>
                            <w:lang w:eastAsia="es-ES"/>
                          </w:rPr>
                        </w:pPr>
                        <w:r w:rsidRPr="00DB1061">
                          <w:rPr>
                            <w:rFonts w:ascii="Calibri" w:eastAsia="Times New Roman" w:hAnsi="Calibri" w:cs="Times New Roman"/>
                            <w:b/>
                            <w:bCs/>
                            <w:color w:val="FFFFFF"/>
                            <w:sz w:val="24"/>
                            <w:szCs w:val="24"/>
                            <w:lang w:eastAsia="es-ES"/>
                          </w:rPr>
                          <w:t>RAZÓN DE LA ACTUALIZACIÓN</w:t>
                        </w: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r w:rsidR="00DB1061" w:rsidRPr="00DB1061" w:rsidTr="00DB1061">
        <w:trPr>
          <w:trHeight w:val="225"/>
          <w:tblCellSpacing w:w="15" w:type="dxa"/>
          <w:jc w:val="center"/>
        </w:trPr>
        <w:tc>
          <w:tcPr>
            <w:tcW w:w="0" w:type="auto"/>
            <w:vAlign w:val="center"/>
            <w:hideMark/>
          </w:tcPr>
          <w:p w:rsidR="00DB1061" w:rsidRPr="00DB1061" w:rsidRDefault="00DB1061" w:rsidP="00DB1061">
            <w:pPr>
              <w:spacing w:after="0" w:line="240" w:lineRule="auto"/>
              <w:rPr>
                <w:rFonts w:ascii="Times New Roman" w:eastAsia="Times New Roman" w:hAnsi="Times New Roman" w:cs="Times New Roman"/>
                <w:szCs w:val="24"/>
                <w:lang w:eastAsia="es-ES"/>
              </w:rPr>
            </w:pPr>
          </w:p>
        </w:tc>
      </w:tr>
      <w:tr w:rsidR="00DB1061" w:rsidRPr="00DB1061" w:rsidTr="00DB1061">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DB1061" w:rsidRPr="00DB1061">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center"/>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center"/>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DB1061" w:rsidRPr="00DB1061" w:rsidRDefault="00DB1061" w:rsidP="00DB1061">
                  <w:pPr>
                    <w:spacing w:after="0" w:line="240" w:lineRule="auto"/>
                    <w:jc w:val="center"/>
                    <w:rPr>
                      <w:rFonts w:ascii="Calibri" w:eastAsia="Times New Roman" w:hAnsi="Calibri" w:cs="Times New Roman"/>
                      <w:b/>
                      <w:bCs/>
                      <w:color w:val="000000"/>
                      <w:sz w:val="24"/>
                      <w:szCs w:val="24"/>
                      <w:lang w:eastAsia="es-ES"/>
                    </w:rPr>
                  </w:pPr>
                  <w:r w:rsidRPr="00DB1061">
                    <w:rPr>
                      <w:rFonts w:ascii="Calibri" w:eastAsia="Times New Roman" w:hAnsi="Calibri" w:cs="Times New Roman"/>
                      <w:b/>
                      <w:bCs/>
                      <w:color w:val="000000"/>
                      <w:sz w:val="24"/>
                      <w:szCs w:val="24"/>
                      <w:lang w:eastAsia="es-ES"/>
                    </w:rPr>
                    <w:t>APROBÓ</w:t>
                  </w:r>
                </w:p>
              </w:tc>
            </w:tr>
            <w:tr w:rsidR="00DB1061" w:rsidRPr="00DB1061">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DB1061" w:rsidRPr="00DB1061">
                    <w:trPr>
                      <w:tblCellSpacing w:w="15" w:type="dxa"/>
                    </w:trPr>
                    <w:tc>
                      <w:tcPr>
                        <w:tcW w:w="12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Nombre:</w:t>
                        </w:r>
                      </w:p>
                    </w:tc>
                    <w:tc>
                      <w:tcPr>
                        <w:tcW w:w="37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Valentina Giraldo Carmona</w:t>
                        </w:r>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Cargo:</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Ninguno</w:t>
                        </w:r>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Fecha:</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05/</w:t>
                        </w:r>
                        <w:proofErr w:type="spellStart"/>
                        <w:r w:rsidRPr="00DB1061">
                          <w:rPr>
                            <w:rFonts w:ascii="Calibri" w:eastAsia="Times New Roman" w:hAnsi="Calibri" w:cs="Times New Roman"/>
                            <w:color w:val="000000"/>
                            <w:lang w:eastAsia="es-ES"/>
                          </w:rPr>
                          <w:t>May</w:t>
                        </w:r>
                        <w:proofErr w:type="spellEnd"/>
                        <w:r w:rsidRPr="00DB1061">
                          <w:rPr>
                            <w:rFonts w:ascii="Calibri" w:eastAsia="Times New Roman" w:hAnsi="Calibri" w:cs="Times New Roman"/>
                            <w:color w:val="000000"/>
                            <w:lang w:eastAsia="es-ES"/>
                          </w:rPr>
                          <w:t>/2017</w:t>
                        </w:r>
                      </w:p>
                    </w:tc>
                  </w:tr>
                </w:tbl>
                <w:p w:rsidR="00DB1061" w:rsidRPr="00DB1061" w:rsidRDefault="00DB1061" w:rsidP="00DB106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B1061" w:rsidRPr="00DB1061">
                    <w:trPr>
                      <w:tblCellSpacing w:w="15" w:type="dxa"/>
                    </w:trPr>
                    <w:tc>
                      <w:tcPr>
                        <w:tcW w:w="12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Nombre:</w:t>
                        </w:r>
                      </w:p>
                    </w:tc>
                    <w:tc>
                      <w:tcPr>
                        <w:tcW w:w="37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Blanca Cecilia Largo Hernández</w:t>
                        </w:r>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Cargo:</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Profesional Especializado</w:t>
                        </w:r>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Fecha:</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22/</w:t>
                        </w:r>
                        <w:proofErr w:type="spellStart"/>
                        <w:r w:rsidRPr="00DB1061">
                          <w:rPr>
                            <w:rFonts w:ascii="Calibri" w:eastAsia="Times New Roman" w:hAnsi="Calibri" w:cs="Times New Roman"/>
                            <w:color w:val="000000"/>
                            <w:lang w:eastAsia="es-ES"/>
                          </w:rPr>
                          <w:t>May</w:t>
                        </w:r>
                        <w:proofErr w:type="spellEnd"/>
                        <w:r w:rsidRPr="00DB1061">
                          <w:rPr>
                            <w:rFonts w:ascii="Calibri" w:eastAsia="Times New Roman" w:hAnsi="Calibri" w:cs="Times New Roman"/>
                            <w:color w:val="000000"/>
                            <w:lang w:eastAsia="es-ES"/>
                          </w:rPr>
                          <w:t>/2017</w:t>
                        </w:r>
                      </w:p>
                    </w:tc>
                  </w:tr>
                </w:tbl>
                <w:p w:rsidR="00DB1061" w:rsidRPr="00DB1061" w:rsidRDefault="00DB1061" w:rsidP="00DB1061">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DB1061" w:rsidRPr="00DB1061">
                    <w:trPr>
                      <w:tblCellSpacing w:w="15" w:type="dxa"/>
                    </w:trPr>
                    <w:tc>
                      <w:tcPr>
                        <w:tcW w:w="12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Nombre:</w:t>
                        </w:r>
                      </w:p>
                    </w:tc>
                    <w:tc>
                      <w:tcPr>
                        <w:tcW w:w="3750" w:type="pct"/>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 xml:space="preserve">Guillermo </w:t>
                        </w:r>
                        <w:proofErr w:type="spellStart"/>
                        <w:r w:rsidRPr="00DB1061">
                          <w:rPr>
                            <w:rFonts w:ascii="Calibri" w:eastAsia="Times New Roman" w:hAnsi="Calibri" w:cs="Times New Roman"/>
                            <w:color w:val="000000"/>
                            <w:lang w:eastAsia="es-ES"/>
                          </w:rPr>
                          <w:t>Hernandez</w:t>
                        </w:r>
                        <w:proofErr w:type="spellEnd"/>
                        <w:r w:rsidRPr="00DB1061">
                          <w:rPr>
                            <w:rFonts w:ascii="Calibri" w:eastAsia="Times New Roman" w:hAnsi="Calibri" w:cs="Times New Roman"/>
                            <w:color w:val="000000"/>
                            <w:lang w:eastAsia="es-ES"/>
                          </w:rPr>
                          <w:t xml:space="preserve"> </w:t>
                        </w:r>
                        <w:proofErr w:type="spellStart"/>
                        <w:r w:rsidRPr="00DB1061">
                          <w:rPr>
                            <w:rFonts w:ascii="Calibri" w:eastAsia="Times New Roman" w:hAnsi="Calibri" w:cs="Times New Roman"/>
                            <w:color w:val="000000"/>
                            <w:lang w:eastAsia="es-ES"/>
                          </w:rPr>
                          <w:t>Gutierrez</w:t>
                        </w:r>
                        <w:proofErr w:type="spellEnd"/>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Cargo:</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Líder de Programa</w:t>
                        </w:r>
                      </w:p>
                    </w:tc>
                  </w:tr>
                  <w:tr w:rsidR="00DB1061" w:rsidRPr="00DB1061">
                    <w:trPr>
                      <w:tblCellSpacing w:w="15" w:type="dxa"/>
                    </w:trPr>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b/>
                            <w:bCs/>
                            <w:color w:val="000000"/>
                            <w:lang w:eastAsia="es-ES"/>
                          </w:rPr>
                          <w:t>Fecha:</w:t>
                        </w:r>
                      </w:p>
                    </w:tc>
                    <w:tc>
                      <w:tcPr>
                        <w:tcW w:w="0" w:type="auto"/>
                        <w:vAlign w:val="center"/>
                        <w:hideMark/>
                      </w:tcPr>
                      <w:p w:rsidR="00DB1061" w:rsidRPr="00DB1061" w:rsidRDefault="00DB1061" w:rsidP="00DB1061">
                        <w:pPr>
                          <w:spacing w:after="0" w:line="240" w:lineRule="auto"/>
                          <w:rPr>
                            <w:rFonts w:ascii="Calibri" w:eastAsia="Times New Roman" w:hAnsi="Calibri" w:cs="Times New Roman"/>
                            <w:color w:val="000000"/>
                            <w:lang w:eastAsia="es-ES"/>
                          </w:rPr>
                        </w:pPr>
                        <w:r w:rsidRPr="00DB1061">
                          <w:rPr>
                            <w:rFonts w:ascii="Calibri" w:eastAsia="Times New Roman" w:hAnsi="Calibri" w:cs="Times New Roman"/>
                            <w:color w:val="000000"/>
                            <w:lang w:eastAsia="es-ES"/>
                          </w:rPr>
                          <w:t>31/</w:t>
                        </w:r>
                        <w:proofErr w:type="spellStart"/>
                        <w:r w:rsidRPr="00DB1061">
                          <w:rPr>
                            <w:rFonts w:ascii="Calibri" w:eastAsia="Times New Roman" w:hAnsi="Calibri" w:cs="Times New Roman"/>
                            <w:color w:val="000000"/>
                            <w:lang w:eastAsia="es-ES"/>
                          </w:rPr>
                          <w:t>May</w:t>
                        </w:r>
                        <w:proofErr w:type="spellEnd"/>
                        <w:r w:rsidRPr="00DB1061">
                          <w:rPr>
                            <w:rFonts w:ascii="Calibri" w:eastAsia="Times New Roman" w:hAnsi="Calibri" w:cs="Times New Roman"/>
                            <w:color w:val="000000"/>
                            <w:lang w:eastAsia="es-ES"/>
                          </w:rPr>
                          <w:t>/2017</w:t>
                        </w:r>
                      </w:p>
                    </w:tc>
                  </w:tr>
                </w:tbl>
                <w:p w:rsidR="00DB1061" w:rsidRPr="00DB1061" w:rsidRDefault="00DB1061" w:rsidP="00DB1061">
                  <w:pPr>
                    <w:spacing w:after="0" w:line="240" w:lineRule="auto"/>
                    <w:jc w:val="both"/>
                    <w:rPr>
                      <w:rFonts w:ascii="Calibri" w:eastAsia="Times New Roman" w:hAnsi="Calibri" w:cs="Times New Roman"/>
                      <w:lang w:eastAsia="es-ES"/>
                    </w:rPr>
                  </w:pPr>
                </w:p>
              </w:tc>
            </w:tr>
          </w:tbl>
          <w:p w:rsidR="00DB1061" w:rsidRPr="00DB1061" w:rsidRDefault="00DB1061" w:rsidP="00DB1061">
            <w:pPr>
              <w:spacing w:after="0" w:line="240" w:lineRule="auto"/>
              <w:rPr>
                <w:rFonts w:ascii="Times New Roman" w:eastAsia="Times New Roman" w:hAnsi="Times New Roman" w:cs="Times New Roman"/>
                <w:sz w:val="24"/>
                <w:szCs w:val="24"/>
                <w:lang w:eastAsia="es-ES"/>
              </w:rPr>
            </w:pPr>
          </w:p>
        </w:tc>
      </w:tr>
    </w:tbl>
    <w:p w:rsidR="007F17DF" w:rsidRDefault="00DB1061">
      <w:bookmarkStart w:id="0" w:name="_GoBack"/>
      <w:bookmarkEnd w:id="0"/>
    </w:p>
    <w:sectPr w:rsidR="007F17DF" w:rsidSect="00DB1061">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061"/>
    <w:rsid w:val="000106FC"/>
    <w:rsid w:val="001336B7"/>
    <w:rsid w:val="002D4109"/>
    <w:rsid w:val="00874852"/>
    <w:rsid w:val="00894079"/>
    <w:rsid w:val="0094203E"/>
    <w:rsid w:val="00BB6CFF"/>
    <w:rsid w:val="00DB1061"/>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B1061"/>
  </w:style>
  <w:style w:type="character" w:styleId="Hipervnculo">
    <w:name w:val="Hyperlink"/>
    <w:basedOn w:val="Fuentedeprrafopredeter"/>
    <w:uiPriority w:val="99"/>
    <w:semiHidden/>
    <w:unhideWhenUsed/>
    <w:rsid w:val="00DB1061"/>
    <w:rPr>
      <w:color w:val="0000FF"/>
      <w:u w:val="single"/>
    </w:rPr>
  </w:style>
  <w:style w:type="character" w:customStyle="1" w:styleId="apple-converted-space">
    <w:name w:val="apple-converted-space"/>
    <w:basedOn w:val="Fuentedeprrafopredeter"/>
    <w:rsid w:val="00DB1061"/>
  </w:style>
  <w:style w:type="paragraph" w:styleId="Textodeglobo">
    <w:name w:val="Balloon Text"/>
    <w:basedOn w:val="Normal"/>
    <w:link w:val="TextodegloboCar"/>
    <w:uiPriority w:val="99"/>
    <w:semiHidden/>
    <w:unhideWhenUsed/>
    <w:rsid w:val="00DB1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0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atos">
    <w:name w:val="datos"/>
    <w:basedOn w:val="Fuentedeprrafopredeter"/>
    <w:rsid w:val="00DB1061"/>
  </w:style>
  <w:style w:type="character" w:styleId="Hipervnculo">
    <w:name w:val="Hyperlink"/>
    <w:basedOn w:val="Fuentedeprrafopredeter"/>
    <w:uiPriority w:val="99"/>
    <w:semiHidden/>
    <w:unhideWhenUsed/>
    <w:rsid w:val="00DB1061"/>
    <w:rPr>
      <w:color w:val="0000FF"/>
      <w:u w:val="single"/>
    </w:rPr>
  </w:style>
  <w:style w:type="character" w:customStyle="1" w:styleId="apple-converted-space">
    <w:name w:val="apple-converted-space"/>
    <w:basedOn w:val="Fuentedeprrafopredeter"/>
    <w:rsid w:val="00DB1061"/>
  </w:style>
  <w:style w:type="paragraph" w:styleId="Textodeglobo">
    <w:name w:val="Balloon Text"/>
    <w:basedOn w:val="Normal"/>
    <w:link w:val="TextodegloboCar"/>
    <w:uiPriority w:val="99"/>
    <w:semiHidden/>
    <w:unhideWhenUsed/>
    <w:rsid w:val="00DB10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1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86156">
      <w:bodyDiv w:val="1"/>
      <w:marLeft w:val="0"/>
      <w:marRight w:val="0"/>
      <w:marTop w:val="0"/>
      <w:marBottom w:val="0"/>
      <w:divBdr>
        <w:top w:val="none" w:sz="0" w:space="0" w:color="auto"/>
        <w:left w:val="none" w:sz="0" w:space="0" w:color="auto"/>
        <w:bottom w:val="none" w:sz="0" w:space="0" w:color="auto"/>
        <w:right w:val="none" w:sz="0" w:space="0" w:color="auto"/>
      </w:divBdr>
      <w:divsChild>
        <w:div w:id="67119192">
          <w:marLeft w:val="0"/>
          <w:marRight w:val="0"/>
          <w:marTop w:val="0"/>
          <w:marBottom w:val="0"/>
          <w:divBdr>
            <w:top w:val="none" w:sz="0" w:space="0" w:color="auto"/>
            <w:left w:val="none" w:sz="0" w:space="0" w:color="auto"/>
            <w:bottom w:val="none" w:sz="0" w:space="0" w:color="auto"/>
            <w:right w:val="none" w:sz="0" w:space="0" w:color="auto"/>
          </w:divBdr>
        </w:div>
        <w:div w:id="1240209934">
          <w:marLeft w:val="0"/>
          <w:marRight w:val="0"/>
          <w:marTop w:val="0"/>
          <w:marBottom w:val="0"/>
          <w:divBdr>
            <w:top w:val="none" w:sz="0" w:space="0" w:color="auto"/>
            <w:left w:val="none" w:sz="0" w:space="0" w:color="auto"/>
            <w:bottom w:val="none" w:sz="0" w:space="0" w:color="auto"/>
            <w:right w:val="none" w:sz="0" w:space="0" w:color="auto"/>
          </w:divBdr>
        </w:div>
        <w:div w:id="1288462607">
          <w:marLeft w:val="0"/>
          <w:marRight w:val="0"/>
          <w:marTop w:val="0"/>
          <w:marBottom w:val="0"/>
          <w:divBdr>
            <w:top w:val="none" w:sz="0" w:space="0" w:color="auto"/>
            <w:left w:val="none" w:sz="0" w:space="0" w:color="auto"/>
            <w:bottom w:val="none" w:sz="0" w:space="0" w:color="auto"/>
            <w:right w:val="none" w:sz="0" w:space="0" w:color="auto"/>
          </w:divBdr>
        </w:div>
        <w:div w:id="567158318">
          <w:marLeft w:val="0"/>
          <w:marRight w:val="0"/>
          <w:marTop w:val="0"/>
          <w:marBottom w:val="0"/>
          <w:divBdr>
            <w:top w:val="none" w:sz="0" w:space="0" w:color="auto"/>
            <w:left w:val="none" w:sz="0" w:space="0" w:color="auto"/>
            <w:bottom w:val="none" w:sz="0" w:space="0" w:color="auto"/>
            <w:right w:val="none" w:sz="0" w:space="0" w:color="auto"/>
          </w:divBdr>
        </w:div>
        <w:div w:id="893541108">
          <w:marLeft w:val="0"/>
          <w:marRight w:val="0"/>
          <w:marTop w:val="0"/>
          <w:marBottom w:val="0"/>
          <w:divBdr>
            <w:top w:val="none" w:sz="0" w:space="0" w:color="auto"/>
            <w:left w:val="none" w:sz="0" w:space="0" w:color="auto"/>
            <w:bottom w:val="none" w:sz="0" w:space="0" w:color="auto"/>
            <w:right w:val="none" w:sz="0" w:space="0" w:color="auto"/>
          </w:divBdr>
        </w:div>
        <w:div w:id="1779527297">
          <w:marLeft w:val="0"/>
          <w:marRight w:val="0"/>
          <w:marTop w:val="0"/>
          <w:marBottom w:val="0"/>
          <w:divBdr>
            <w:top w:val="none" w:sz="0" w:space="0" w:color="auto"/>
            <w:left w:val="none" w:sz="0" w:space="0" w:color="auto"/>
            <w:bottom w:val="none" w:sz="0" w:space="0" w:color="auto"/>
            <w:right w:val="none" w:sz="0" w:space="0" w:color="auto"/>
          </w:divBdr>
        </w:div>
        <w:div w:id="1471509810">
          <w:marLeft w:val="0"/>
          <w:marRight w:val="0"/>
          <w:marTop w:val="0"/>
          <w:marBottom w:val="0"/>
          <w:divBdr>
            <w:top w:val="none" w:sz="0" w:space="0" w:color="auto"/>
            <w:left w:val="none" w:sz="0" w:space="0" w:color="auto"/>
            <w:bottom w:val="none" w:sz="0" w:space="0" w:color="auto"/>
            <w:right w:val="none" w:sz="0" w:space="0" w:color="auto"/>
          </w:divBdr>
        </w:div>
        <w:div w:id="1817916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100de1993/Ley100de1993.asp?IdArticulo=411" TargetMode="External"/><Relationship Id="rId13" Type="http://schemas.openxmlformats.org/officeDocument/2006/relationships/hyperlink" Target="http://www.isolucion.com.co/Isolucion3AlcManizales/bancoconocimientoalcmanizales/A/Acuerdo117de1998/Acuerdo117de1998.asp?IdArticulo=1084"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L/Ley10de1990/Ley10de1990.asp?IdArticulo=2466" TargetMode="External"/><Relationship Id="rId12" Type="http://schemas.openxmlformats.org/officeDocument/2006/relationships/hyperlink" Target="http://www.isolucion.com.co/Isolucion3AlcManizales/bancoconocimientoalcmanizales/R/Resolucion412de2000/Resolucion412de2000.asp?IdArticulo=403"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R/Resolucion4505de2012/Resolucion4505de2012.asp?IdArticulo=2432" TargetMode="External"/><Relationship Id="rId5" Type="http://schemas.openxmlformats.org/officeDocument/2006/relationships/image" Target="media/image1.png"/><Relationship Id="rId15" Type="http://schemas.openxmlformats.org/officeDocument/2006/relationships/hyperlink" Target="http://www.isolucion.com.co/Isolucion3AlcManizales/bancoconocimientoalcmanizales/I/InformedeSupervisiony_oInterventoriaparaContratos(Parcial)_v01/InformedeSupervisiony_oInterventoriaparaContratos(Parcial)_v01.asp?IdArticulo=1060" TargetMode="External"/><Relationship Id="rId10" Type="http://schemas.openxmlformats.org/officeDocument/2006/relationships/hyperlink" Target="http://www.isolucion.com.co/Isolucion3AlcManizales/bancoconocimientoalcmanizales/L/Ley715de2001/Ley715de2001.asp?IdArticulo=267"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ey1438de2011/Ley1438de2011.asp?IdArticulo=269" TargetMode="External"/><Relationship Id="rId14" Type="http://schemas.openxmlformats.org/officeDocument/2006/relationships/hyperlink" Target="http://www.isolucion.com.co/Isolucion3AlcManizales/bancoconocimientoalcmanizales/A/ActadeReunionGeneral_v2_2/ActadeReunionGeneral_v2_2.asp?IdArticulo=17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1436</Words>
  <Characters>7899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2017-06-01T20:09:00Z</dcterms:created>
  <dcterms:modified xsi:type="dcterms:W3CDTF">2017-06-01T20:14:00Z</dcterms:modified>
</cp:coreProperties>
</file>