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center"/>
        <w:rPr>
          <w:rFonts w:hint="default" w:ascii="Arial" w:hAnsi="Arial" w:cs="Arial"/>
          <w:b/>
          <w:bCs/>
          <w:sz w:val="36"/>
          <w:szCs w:val="36"/>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center"/>
        <w:rPr>
          <w:rFonts w:hint="default" w:ascii="Arial" w:hAnsi="Arial" w:cs="Arial"/>
          <w:b/>
          <w:bCs/>
          <w:sz w:val="32"/>
          <w:szCs w:val="32"/>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dio inicio  el día siete  (07) de marzo  de dos mil diecisiete (2017), al Proceso Administrativo por Amenaza de Ruina, distinguido bajo el Nº 023-2017,  de un bien inmueble ubicado en la CALLE 73 Nº 20 - 24~, barrio Alta Suiza identificado con la Ficha Catastral Nº 0101000001290010000 y la Matricula Inmobiliaria Nº 100-93016, que de conformidad con el Certificado de Tradición de la Oficina de Registro de Instrumentos Públicos de Manizales, es de JOSÉ URIEL, NORBERTO, GILBERTO HELY, MARÍA ARACELLY, ANGELA MARÍA, FANNY, MARÍA EUGENIA, JESÚS POMPILIO, LUIS HORACIO, LUZ FELICITA y ANA LUCÍA AGUDELO GIRALDO  con fundamento en el Informe Técnico de la Unidad de Gestión del Riesgo de la Alcaldía de Manizales UGR 541-17 de marzo siete (07) de dos mil diecisiete (2017) y UGR 4369 GED 56644-17 de diciembre catorce (14) de dos mil diecisiete (2017).</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 NORBERTO, GILBERTO HELY, MARÍA ARACELLY, ANGELA MARÍA, FANNY, MARÍA EUGENIA, JESÚS POMPILIO, LUIS HORACIO, LUZ FELICITA Y ANA LUCÍA AGUDELO GIRALD0, se le da traslado de los  Informes Técnicos UGR 541-17 de marzo siete (07) de dos mil diecisiete (2017) y 4369 GED de diciembre catorce (14) de dos mil diecisiete (2017) de la Unidad de Gestión del Riesgo de la Alcaldía de Manizales, contra el cual le asiste el derecho presentar objeciones u observaciones, en los términos de ley, dentro de los tres días (03) hábiles siguientes a la fecha de traslado.</w:t>
      </w:r>
    </w:p>
    <w:p>
      <w:pPr>
        <w:jc w:val="both"/>
        <w:rPr>
          <w:rFonts w:hint="default" w:ascii="Arial" w:hAnsi="Arial" w:cs="Arial"/>
          <w:b/>
          <w:bCs/>
          <w:sz w:val="28"/>
          <w:szCs w:val="28"/>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Diciembre 28 de 2017</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Enero 5  de 2018</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r>
        <w:rPr>
          <w:rFonts w:hint="default" w:ascii="Arial" w:hAnsi="Arial" w:cs="Arial"/>
          <w:b w:val="0"/>
          <w:bCs w:val="0"/>
          <w:lang w:val="es-ES"/>
        </w:rPr>
        <w:t>Original Firmado</w:t>
      </w:r>
      <w:bookmarkStart w:id="0" w:name="_GoBack"/>
      <w:bookmarkEnd w:id="0"/>
    </w:p>
    <w:p>
      <w:pPr>
        <w:jc w:val="both"/>
        <w:rPr>
          <w:rFonts w:hint="default" w:ascii="Arial" w:hAnsi="Arial" w:cs="Arial"/>
          <w:b w:val="0"/>
          <w:bCs w:val="0"/>
          <w:lang w:val="es-ES"/>
        </w:rPr>
      </w:pPr>
    </w:p>
    <w:p>
      <w:pPr>
        <w:jc w:val="both"/>
        <w:rPr>
          <w:rFonts w:hint="default" w:ascii="Arial" w:hAnsi="Arial" w:cs="Arial"/>
          <w:b w:val="0"/>
          <w:bCs w:val="0"/>
          <w:lang w:val="es-ES"/>
        </w:rPr>
      </w:pPr>
      <w:r>
        <w:rPr>
          <w:lang w:eastAsia="es-ES"/>
        </w:rPr>
        <w:drawing>
          <wp:anchor distT="0" distB="0" distL="114300" distR="114300" simplePos="0" relativeHeight="251660288" behindDoc="1" locked="0" layoutInCell="1" allowOverlap="1">
            <wp:simplePos x="0" y="0"/>
            <wp:positionH relativeFrom="column">
              <wp:posOffset>-1148715</wp:posOffset>
            </wp:positionH>
            <wp:positionV relativeFrom="paragraph">
              <wp:posOffset>-180975</wp:posOffset>
            </wp:positionV>
            <wp:extent cx="7781925" cy="1530350"/>
            <wp:effectExtent l="0" t="0" r="9525" b="1270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cintosh HD:Users:BryanSantiagoGrisalesChica:Documents:Marca Ciudad Manizales:Diseños:Membretes Municipales:Barra-Inferi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81925" cy="1530350"/>
                    </a:xfrm>
                    <a:prstGeom prst="rect">
                      <a:avLst/>
                    </a:prstGeom>
                    <a:noFill/>
                    <a:ln>
                      <a:noFill/>
                    </a:ln>
                  </pic:spPr>
                </pic:pic>
              </a:graphicData>
            </a:graphic>
          </wp:anchor>
        </w:drawing>
      </w:r>
    </w:p>
    <w:sectPr>
      <w:headerReference r:id="rId3" w:type="default"/>
      <w:pgSz w:w="12191" w:h="15819"/>
      <w:pgMar w:top="1440" w:right="1800" w:bottom="1440" w:left="1800"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ES" w:eastAsia="es-ES"/>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-1186180</wp:posOffset>
          </wp:positionV>
          <wp:extent cx="7780655" cy="11889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80754" cy="11888993"/>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475B5"/>
    <w:rsid w:val="001220E9"/>
    <w:rsid w:val="001D07FE"/>
    <w:rsid w:val="001D6FC5"/>
    <w:rsid w:val="002153C6"/>
    <w:rsid w:val="00347674"/>
    <w:rsid w:val="00353894"/>
    <w:rsid w:val="003F7EC4"/>
    <w:rsid w:val="0053661C"/>
    <w:rsid w:val="00545FEE"/>
    <w:rsid w:val="00621570"/>
    <w:rsid w:val="0067184B"/>
    <w:rsid w:val="00783B52"/>
    <w:rsid w:val="007D598B"/>
    <w:rsid w:val="007D7C51"/>
    <w:rsid w:val="00830B9F"/>
    <w:rsid w:val="008F56FC"/>
    <w:rsid w:val="00914C82"/>
    <w:rsid w:val="00924956"/>
    <w:rsid w:val="0096324D"/>
    <w:rsid w:val="00993E9F"/>
    <w:rsid w:val="00A70671"/>
    <w:rsid w:val="00B2721D"/>
    <w:rsid w:val="00C24322"/>
    <w:rsid w:val="00C8550D"/>
    <w:rsid w:val="00D50D86"/>
    <w:rsid w:val="00EB1923"/>
    <w:rsid w:val="00F17ED9"/>
    <w:rsid w:val="00F3125B"/>
    <w:rsid w:val="00F66ACB"/>
    <w:rsid w:val="00FE330E"/>
    <w:rsid w:val="035407EA"/>
    <w:rsid w:val="06292DDF"/>
    <w:rsid w:val="08B00889"/>
    <w:rsid w:val="0F1D08EA"/>
    <w:rsid w:val="12407FF0"/>
    <w:rsid w:val="148057BD"/>
    <w:rsid w:val="16994C76"/>
    <w:rsid w:val="179E3070"/>
    <w:rsid w:val="1F5857B5"/>
    <w:rsid w:val="2A2F2079"/>
    <w:rsid w:val="2E0A0664"/>
    <w:rsid w:val="2E6004F0"/>
    <w:rsid w:val="2FD131BA"/>
    <w:rsid w:val="30841CF6"/>
    <w:rsid w:val="32400ABB"/>
    <w:rsid w:val="324D7EF6"/>
    <w:rsid w:val="33753C23"/>
    <w:rsid w:val="39095585"/>
    <w:rsid w:val="39B27FF2"/>
    <w:rsid w:val="3D7E5295"/>
    <w:rsid w:val="3DB8535A"/>
    <w:rsid w:val="3E5B46CE"/>
    <w:rsid w:val="410B3941"/>
    <w:rsid w:val="41F203EE"/>
    <w:rsid w:val="420309C1"/>
    <w:rsid w:val="42325696"/>
    <w:rsid w:val="45F403DB"/>
    <w:rsid w:val="47F167F9"/>
    <w:rsid w:val="47F507D7"/>
    <w:rsid w:val="54A126C0"/>
    <w:rsid w:val="59C443DA"/>
    <w:rsid w:val="5BF66016"/>
    <w:rsid w:val="5DC96FCF"/>
    <w:rsid w:val="5EAF0C9B"/>
    <w:rsid w:val="5F012247"/>
    <w:rsid w:val="612E1F63"/>
    <w:rsid w:val="665F570F"/>
    <w:rsid w:val="73C46C80"/>
    <w:rsid w:val="746C1227"/>
    <w:rsid w:val="7E69620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252"/>
        <w:tab w:val="right" w:pos="8504"/>
      </w:tabs>
    </w:pPr>
  </w:style>
  <w:style w:type="paragraph" w:styleId="3">
    <w:name w:val="footer"/>
    <w:basedOn w:val="1"/>
    <w:link w:val="8"/>
    <w:unhideWhenUsed/>
    <w:qFormat/>
    <w:uiPriority w:val="99"/>
    <w:pPr>
      <w:tabs>
        <w:tab w:val="center" w:pos="4252"/>
        <w:tab w:val="right" w:pos="8504"/>
      </w:tabs>
    </w:pPr>
  </w:style>
  <w:style w:type="character" w:styleId="5">
    <w:name w:val="Hyperlink"/>
    <w:basedOn w:val="4"/>
    <w:unhideWhenUsed/>
    <w:qFormat/>
    <w:uiPriority w:val="99"/>
    <w:rPr>
      <w:color w:val="0000FF"/>
      <w:u w:val="single"/>
    </w:rPr>
  </w:style>
  <w:style w:type="character" w:customStyle="1" w:styleId="7">
    <w:name w:val="Encabezado Car"/>
    <w:basedOn w:val="4"/>
    <w:link w:val="2"/>
    <w:qFormat/>
    <w:uiPriority w:val="99"/>
  </w:style>
  <w:style w:type="character" w:customStyle="1" w:styleId="8">
    <w:name w:val="Pie de página Car"/>
    <w:basedOn w:val="4"/>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3D9BE-05C8-41A5-9F8E-2ABFA8FCD776}">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2017-02-23T13:27:00Z</dcterms:created>
  <dc:creator>Usuario de Microsoft Office</dc:creator>
  <cp:lastModifiedBy>lmuñozsa</cp:lastModifiedBy>
  <cp:lastPrinted>2017-12-19T22:06:00Z</cp:lastPrinted>
  <dcterms:modified xsi:type="dcterms:W3CDTF">2017-12-26T20:29:26Z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2058-10.2.0.5965</vt:lpwstr>
  </property>
</Properties>
</file>