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bookmarkStart w:id="0" w:name="_GoBack"/>
      <w:bookmarkEnd w:id="0"/>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2011-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both"/>
        <w:rPr>
          <w:rFonts w:hint="default" w:ascii="Arial" w:hAnsi="Arial" w:cs="Arial"/>
          <w:b/>
          <w:bCs/>
          <w:sz w:val="20"/>
          <w:szCs w:val="20"/>
          <w:lang w:val="es-ES"/>
        </w:rPr>
      </w:pPr>
      <w:r>
        <w:rPr>
          <w:rFonts w:hint="default" w:ascii="Arial" w:hAnsi="Arial" w:cs="Arial"/>
          <w:b/>
          <w:bCs/>
          <w:sz w:val="20"/>
          <w:szCs w:val="20"/>
          <w:lang w:val="es-ES"/>
        </w:rPr>
        <w:t xml:space="preserve">La Oficina de Control Urbano de la Secretaria de Planeación dentro del   Proceso Administrativo por Amenaza de Ruina, distinguido bajo el Nº 189 - 2016,  de un bien inmueble ubicado  en la CARRERA 5 con  CALLE 31, barrio Bajo Galán, por medio del Oficio OCU 2052  de julio dieciséis (16)  de dos mil dieciocho (2018), citó  al  señor LUIS EDUARDO VALDEZ BLANDON, cuya dirección de domicilio y residencia se desconocen, con la finalidad de notificarlo personalmente del contenido del Auto Nº 0612-18 de julio dieciséis (16) de dos mil dieciocho (2018), por medio del cual se ordenó su vinculación como sujeto procesal  al  proceso administrativo de amenaza de ruina del inmueble, y al tiempo darle traslado del Informe Técnico UGR 1121 GED 17590-16 de junio catorce (14) de dos mil dieciséis (2016), originario de la Unidad de Gestión del Riesgo de la Alcaldía Municipal. </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del señor LUIS EDUARDO VALDEZ BLANDON,  por medio del presente aviso se procede a notificarle el contenido del Auto Nº 0612-18 de julio dieciséis (16) de dos mil dieciocho (2018), por medio del cual se ordenó su vinculación como sujeto procesal al proceso administrativo de amenaza de ruina del inmueble, contra cuyo contenido no procede recurso alguno, y al tiempo darle traslado del Informe Técnico UGR UGR 1121 GED 17590-16 de junio catorce (14) de dos mil dieciséis (2016),,  originario de la Unidad de Gestión del Riesgo de la Alcaldía Municipal, contra el cual le asiste el derecho, dentro de los tres (03) días hábiles siguientes a la fecha de desfijación de este aviso,de solicitar aclaraciones, ampliaciones o modificaciones, en los términos de ley.</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w:t>
      </w:r>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JULIO 27   de 2018  a las 8:00 A.M.</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AGOSTO 02   de 2018 a las 6:00 P.M.</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p>
    <w:p>
      <w:pPr>
        <w:jc w:val="both"/>
        <w:rPr>
          <w:rFonts w:hint="default" w:ascii="Arial" w:hAnsi="Arial" w:cs="Arial"/>
          <w:b w:val="0"/>
          <w:bCs w:val="0"/>
          <w:lang w:val="es-ES"/>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A1C3389"/>
    <w:rsid w:val="13EA40E5"/>
    <w:rsid w:val="18F340A6"/>
    <w:rsid w:val="198B1656"/>
    <w:rsid w:val="23566781"/>
    <w:rsid w:val="46FA27EF"/>
    <w:rsid w:val="54F53EEB"/>
    <w:rsid w:val="5DCF47FE"/>
    <w:rsid w:val="5DD00E11"/>
    <w:rsid w:val="6FDE3EBE"/>
    <w:rsid w:val="7BA229DB"/>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6"/>
    <w:unhideWhenUsed/>
    <w:qFormat/>
    <w:uiPriority w:val="99"/>
    <w:pPr>
      <w:tabs>
        <w:tab w:val="center" w:pos="4252"/>
        <w:tab w:val="right" w:pos="8504"/>
      </w:tabs>
    </w:pPr>
  </w:style>
  <w:style w:type="paragraph" w:styleId="3">
    <w:name w:val="footer"/>
    <w:basedOn w:val="1"/>
    <w:link w:val="7"/>
    <w:unhideWhenUsed/>
    <w:qFormat/>
    <w:uiPriority w:val="99"/>
    <w:pPr>
      <w:tabs>
        <w:tab w:val="center" w:pos="4252"/>
        <w:tab w:val="right" w:pos="8504"/>
      </w:tabs>
    </w:pPr>
  </w:style>
  <w:style w:type="character" w:customStyle="1" w:styleId="6">
    <w:name w:val="Encabezado Car"/>
    <w:basedOn w:val="4"/>
    <w:link w:val="2"/>
    <w:qFormat/>
    <w:uiPriority w:val="99"/>
  </w:style>
  <w:style w:type="character" w:customStyle="1" w:styleId="7">
    <w:name w:val="Pie de página Car"/>
    <w:basedOn w:val="4"/>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2018-07-26T21:20:00Z</cp:lastPrinted>
  <dcterms:modified xsi:type="dcterms:W3CDTF">2018-07-27T13:47:09Z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