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bookmarkStart w:id="0" w:name="_GoBack"/>
      <w:bookmarkEnd w:id="0"/>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7º de la Resolución  Nº 1839 de octubre 10 de 2018, procede a publicar en la página electrónica de la Alcaldía Municipal, la parte Resolutiva  del citado acto administrativo:</w:t>
      </w:r>
    </w:p>
    <w:p>
      <w:pPr>
        <w:rPr>
          <w:lang w:val="es-ES"/>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bien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1-03-0311-0014-000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32551</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la señora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STELLA OROZCO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identificada con la cédula de ciudadanía 24.298.134,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ubicado en la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calle 33 B Nº 34 - 48 Barrio Estrada-</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 bien inmueble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Nº.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1-03-0311-0014-000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32551</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la señora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STELLA OROZCO GÓMEZ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 la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calle 33 B Nº 34 - 48 Barrio Estrada-</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presente decisión 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 la señora </w:t>
      </w:r>
      <w:r>
        <w:rPr>
          <w:rFonts w:ascii="Arial Narrow" w:hAnsi="Arial Narrow" w:eastAsia="Arial" w:cs="Arial"/>
          <w:b/>
          <w:bCs/>
          <w:sz w:val="21"/>
          <w:szCs w:val="21"/>
          <w:lang w:val="es-ES"/>
          <w14:shadow w14:blurRad="50800" w14:dist="38100" w14:dir="2700000" w14:sx="100000" w14:sy="100000" w14:kx="0" w14:ky="0" w14:algn="tl">
            <w14:srgbClr w14:val="000000">
              <w14:alpha w14:val="60000"/>
            </w14:srgbClr>
          </w14:shadow>
        </w:rPr>
        <w:t>STELLA OROZCO GÓMEZ</w:t>
      </w:r>
      <w:r>
        <w:rPr>
          <w:rFonts w:ascii="Arial Narrow" w:hAnsi="Arial Narrow" w:eastAsia="Calibri" w:cs="Tahoma"/>
          <w:b w:val="0"/>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su calidad de propietari</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r>
        <w:rPr>
          <w:rFonts w:ascii="Arial Narrow" w:hAnsi="Arial Narrow"/>
          <w:bCs/>
          <w:sz w:val="21"/>
          <w:szCs w:val="21"/>
          <w14:shadow w14:blurRad="50800" w14:dist="38100" w14:dir="2700000" w14:sx="100000" w14:sy="100000" w14:kx="0" w14:ky="0" w14:algn="tl">
            <w14:srgbClr w14:val="000000">
              <w14:alpha w14:val="60000"/>
            </w14:srgbClr>
          </w14:shadow>
        </w:rPr>
        <w:t xml:space="preserve">Dada en Manizales a los, </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rPr>
          <w:lang w:val="es-ES"/>
        </w:rPr>
      </w:pPr>
    </w:p>
    <w:p>
      <w:pPr>
        <w:rPr>
          <w:lang w:val="es-ES"/>
        </w:rPr>
      </w:pPr>
    </w:p>
    <w:p>
      <w:pPr>
        <w:suppressAutoHyphens/>
        <w:jc w:val="both"/>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0433"/>
    <w:rsid w:val="0002467D"/>
    <w:rsid w:val="00027A13"/>
    <w:rsid w:val="000340AC"/>
    <w:rsid w:val="00040971"/>
    <w:rsid w:val="0006032A"/>
    <w:rsid w:val="00075D0F"/>
    <w:rsid w:val="00084F4F"/>
    <w:rsid w:val="000F4BAD"/>
    <w:rsid w:val="00131DBA"/>
    <w:rsid w:val="001453F6"/>
    <w:rsid w:val="00163176"/>
    <w:rsid w:val="001D07FE"/>
    <w:rsid w:val="001F02BE"/>
    <w:rsid w:val="00274203"/>
    <w:rsid w:val="002832A7"/>
    <w:rsid w:val="002C59DB"/>
    <w:rsid w:val="002F6CFB"/>
    <w:rsid w:val="00343BBA"/>
    <w:rsid w:val="00352318"/>
    <w:rsid w:val="0045459E"/>
    <w:rsid w:val="00470275"/>
    <w:rsid w:val="004D776C"/>
    <w:rsid w:val="004E6A9C"/>
    <w:rsid w:val="0053718F"/>
    <w:rsid w:val="005639F5"/>
    <w:rsid w:val="005D2787"/>
    <w:rsid w:val="005F2D6E"/>
    <w:rsid w:val="00651346"/>
    <w:rsid w:val="00655050"/>
    <w:rsid w:val="00693BEC"/>
    <w:rsid w:val="006A65BA"/>
    <w:rsid w:val="006E15A4"/>
    <w:rsid w:val="006E4EE2"/>
    <w:rsid w:val="006F4AA7"/>
    <w:rsid w:val="00702218"/>
    <w:rsid w:val="00723A79"/>
    <w:rsid w:val="007762E1"/>
    <w:rsid w:val="007A1972"/>
    <w:rsid w:val="00821DF9"/>
    <w:rsid w:val="00822716"/>
    <w:rsid w:val="00830CB9"/>
    <w:rsid w:val="008507DF"/>
    <w:rsid w:val="00880996"/>
    <w:rsid w:val="008E0C28"/>
    <w:rsid w:val="009A2DE6"/>
    <w:rsid w:val="009D7ED6"/>
    <w:rsid w:val="00A15E2B"/>
    <w:rsid w:val="00A442C3"/>
    <w:rsid w:val="00A53F90"/>
    <w:rsid w:val="00BD144C"/>
    <w:rsid w:val="00BD7002"/>
    <w:rsid w:val="00C24322"/>
    <w:rsid w:val="00C6120D"/>
    <w:rsid w:val="00CA604E"/>
    <w:rsid w:val="00CD40E9"/>
    <w:rsid w:val="00D158B3"/>
    <w:rsid w:val="00D160D0"/>
    <w:rsid w:val="00D1695F"/>
    <w:rsid w:val="00D225E5"/>
    <w:rsid w:val="00D53A64"/>
    <w:rsid w:val="00DC0523"/>
    <w:rsid w:val="00DE08BC"/>
    <w:rsid w:val="00E20189"/>
    <w:rsid w:val="00E3105D"/>
    <w:rsid w:val="00E45E0A"/>
    <w:rsid w:val="00E50334"/>
    <w:rsid w:val="00E71B43"/>
    <w:rsid w:val="00E82E29"/>
    <w:rsid w:val="00EC6C6A"/>
    <w:rsid w:val="00EE0F74"/>
    <w:rsid w:val="00F3711B"/>
    <w:rsid w:val="00F40EE6"/>
    <w:rsid w:val="00FB7E2D"/>
    <w:rsid w:val="00FD00A5"/>
    <w:rsid w:val="00FD2876"/>
    <w:rsid w:val="07B23914"/>
    <w:rsid w:val="0A6838A3"/>
    <w:rsid w:val="13AA5F04"/>
    <w:rsid w:val="18617FCF"/>
    <w:rsid w:val="1D297F18"/>
    <w:rsid w:val="21EE7EC7"/>
    <w:rsid w:val="26037FE1"/>
    <w:rsid w:val="260D0394"/>
    <w:rsid w:val="27913C23"/>
    <w:rsid w:val="2BA52845"/>
    <w:rsid w:val="37846522"/>
    <w:rsid w:val="3B014D8D"/>
    <w:rsid w:val="3BF63E57"/>
    <w:rsid w:val="414C6A03"/>
    <w:rsid w:val="43C97899"/>
    <w:rsid w:val="43CC50C7"/>
    <w:rsid w:val="48D62CD8"/>
    <w:rsid w:val="52B020C9"/>
    <w:rsid w:val="598B5A6D"/>
    <w:rsid w:val="6C9A7677"/>
    <w:rsid w:val="6D9205E8"/>
    <w:rsid w:val="6E2922CC"/>
    <w:rsid w:val="73D2750D"/>
    <w:rsid w:val="756E3F1F"/>
    <w:rsid w:val="76071F21"/>
    <w:rsid w:val="7ED40784"/>
    <w:rsid w:val="7F105C3D"/>
    <w:rsid w:val="7F94046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semiHidden/>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semiHidden/>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semiHidden/>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header"/>
    <w:basedOn w:val="1"/>
    <w:link w:val="9"/>
    <w:unhideWhenUsed/>
    <w:qFormat/>
    <w:uiPriority w:val="99"/>
    <w:pPr>
      <w:tabs>
        <w:tab w:val="center" w:pos="4252"/>
        <w:tab w:val="right" w:pos="8504"/>
      </w:tabs>
    </w:pPr>
  </w:style>
  <w:style w:type="paragraph" w:styleId="6">
    <w:name w:val="footer"/>
    <w:basedOn w:val="1"/>
    <w:link w:val="10"/>
    <w:unhideWhenUsed/>
    <w:qFormat/>
    <w:uiPriority w:val="99"/>
    <w:pPr>
      <w:tabs>
        <w:tab w:val="center" w:pos="4252"/>
        <w:tab w:val="right" w:pos="8504"/>
      </w:tabs>
    </w:pPr>
  </w:style>
  <w:style w:type="character" w:customStyle="1" w:styleId="9">
    <w:name w:val="Encabezado Car"/>
    <w:basedOn w:val="7"/>
    <w:link w:val="5"/>
    <w:qFormat/>
    <w:uiPriority w:val="99"/>
  </w:style>
  <w:style w:type="character" w:customStyle="1" w:styleId="10">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337</Words>
  <Characters>1859</Characters>
  <Lines>15</Lines>
  <Paragraphs>4</Paragraphs>
  <ScaleCrop>false</ScaleCrop>
  <LinksUpToDate>false</LinksUpToDate>
  <CharactersWithSpaces>2192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lmuñozsa</cp:lastModifiedBy>
  <cp:lastPrinted>2018-09-05T19:48:00Z</cp:lastPrinted>
  <dcterms:modified xsi:type="dcterms:W3CDTF">2018-10-30T20:03:10Z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